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804" w:rsidRDefault="004E7804" w:rsidP="002E281B">
      <w:pPr>
        <w:spacing w:line="360" w:lineRule="auto"/>
        <w:rPr>
          <w:rFonts w:ascii="Times New Roman" w:hAnsi="Times New Roman" w:cs="Times New Roman"/>
          <w:sz w:val="24"/>
          <w:szCs w:val="24"/>
        </w:rPr>
      </w:pPr>
    </w:p>
    <w:p w:rsidR="0064781A" w:rsidRDefault="0064781A" w:rsidP="00967151">
      <w:pPr>
        <w:spacing w:line="360" w:lineRule="auto"/>
        <w:rPr>
          <w:rFonts w:ascii="Times New Roman" w:hAnsi="Times New Roman" w:cs="Times New Roman"/>
          <w:b/>
          <w:sz w:val="24"/>
          <w:szCs w:val="24"/>
        </w:rPr>
      </w:pPr>
      <w:r w:rsidRPr="00402B6A">
        <w:rPr>
          <w:rFonts w:ascii="Times New Roman" w:hAnsi="Times New Roman" w:cs="Times New Roman"/>
          <w:b/>
          <w:sz w:val="24"/>
          <w:szCs w:val="24"/>
        </w:rPr>
        <w:t>Higher Education in Australia</w:t>
      </w:r>
      <w:r w:rsidR="008B00EC">
        <w:rPr>
          <w:rFonts w:ascii="Times New Roman" w:hAnsi="Times New Roman" w:cs="Times New Roman"/>
          <w:b/>
          <w:sz w:val="24"/>
          <w:szCs w:val="24"/>
        </w:rPr>
        <w:t xml:space="preserve"> – forward to 2025 with</w:t>
      </w:r>
      <w:r w:rsidRPr="00402B6A">
        <w:rPr>
          <w:rFonts w:ascii="Times New Roman" w:hAnsi="Times New Roman" w:cs="Times New Roman"/>
          <w:b/>
          <w:sz w:val="24"/>
          <w:szCs w:val="24"/>
        </w:rPr>
        <w:t xml:space="preserve"> TEQSA:  </w:t>
      </w:r>
      <w:r w:rsidR="008D2EE4">
        <w:rPr>
          <w:rFonts w:ascii="Times New Roman" w:hAnsi="Times New Roman" w:cs="Times New Roman"/>
          <w:b/>
          <w:sz w:val="24"/>
          <w:szCs w:val="24"/>
        </w:rPr>
        <w:t xml:space="preserve">Treading the Education Quicksand </w:t>
      </w:r>
      <w:r w:rsidR="004C4043">
        <w:rPr>
          <w:rFonts w:ascii="Times New Roman" w:hAnsi="Times New Roman" w:cs="Times New Roman"/>
          <w:b/>
          <w:sz w:val="24"/>
          <w:szCs w:val="24"/>
        </w:rPr>
        <w:t>Shakily</w:t>
      </w:r>
      <w:r w:rsidR="00C52EF4">
        <w:rPr>
          <w:rFonts w:ascii="Times New Roman" w:hAnsi="Times New Roman" w:cs="Times New Roman"/>
          <w:b/>
          <w:sz w:val="24"/>
          <w:szCs w:val="24"/>
        </w:rPr>
        <w:t xml:space="preserve"> or </w:t>
      </w:r>
      <w:r w:rsidR="008D2EE4">
        <w:rPr>
          <w:rFonts w:ascii="Times New Roman" w:hAnsi="Times New Roman" w:cs="Times New Roman"/>
          <w:b/>
          <w:sz w:val="24"/>
          <w:szCs w:val="24"/>
        </w:rPr>
        <w:t>Assertively?</w:t>
      </w:r>
    </w:p>
    <w:p w:rsidR="00967151" w:rsidRPr="00967151" w:rsidRDefault="00967151" w:rsidP="004C404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Associate-Professor Sally </w:t>
      </w:r>
      <w:proofErr w:type="spellStart"/>
      <w:r>
        <w:rPr>
          <w:rFonts w:ascii="Times New Roman" w:hAnsi="Times New Roman" w:cs="Times New Roman"/>
          <w:sz w:val="24"/>
          <w:szCs w:val="24"/>
        </w:rPr>
        <w:t>Varnham</w:t>
      </w:r>
      <w:proofErr w:type="spellEnd"/>
      <w:r w:rsidR="004C4043">
        <w:rPr>
          <w:rStyle w:val="FootnoteReference"/>
          <w:sz w:val="24"/>
          <w:szCs w:val="24"/>
        </w:rPr>
        <w:footnoteReference w:id="1"/>
      </w:r>
    </w:p>
    <w:p w:rsidR="008D2EE4" w:rsidRPr="00FA16E3" w:rsidRDefault="008D2EE4" w:rsidP="008D2EE4">
      <w:pPr>
        <w:spacing w:before="100" w:beforeAutospacing="1" w:after="100" w:afterAutospacing="1" w:line="240" w:lineRule="auto"/>
        <w:ind w:left="851" w:right="2277"/>
        <w:rPr>
          <w:rFonts w:ascii="Times New Roman" w:eastAsia="Times New Roman" w:hAnsi="Times New Roman" w:cs="Times New Roman"/>
          <w:sz w:val="20"/>
          <w:szCs w:val="20"/>
        </w:rPr>
      </w:pPr>
      <w:r w:rsidRPr="00FA16E3">
        <w:rPr>
          <w:rFonts w:ascii="Times New Roman" w:eastAsia="Times New Roman" w:hAnsi="Times New Roman" w:cs="Times New Roman"/>
          <w:bCs/>
          <w:sz w:val="20"/>
          <w:szCs w:val="20"/>
        </w:rPr>
        <w:t xml:space="preserve">Australia’s universities are drowning in red tape, crippled by funding shortages and struggling against an incoherent research policy, according to University of NSW vice-chancellor Fred </w:t>
      </w:r>
      <w:proofErr w:type="spellStart"/>
      <w:r w:rsidRPr="00FA16E3">
        <w:rPr>
          <w:rFonts w:ascii="Times New Roman" w:eastAsia="Times New Roman" w:hAnsi="Times New Roman" w:cs="Times New Roman"/>
          <w:bCs/>
          <w:sz w:val="20"/>
          <w:szCs w:val="20"/>
        </w:rPr>
        <w:t>Hilmer</w:t>
      </w:r>
      <w:proofErr w:type="spellEnd"/>
      <w:r w:rsidRPr="00FA16E3">
        <w:rPr>
          <w:rFonts w:ascii="Times New Roman" w:eastAsia="Times New Roman" w:hAnsi="Times New Roman" w:cs="Times New Roman"/>
          <w:bCs/>
          <w:sz w:val="20"/>
          <w:szCs w:val="20"/>
        </w:rPr>
        <w:t>. He says too many policy changes, combined with a lack of opposition by university leaders, have led to oppressive government regulation and chronic under-funding</w:t>
      </w:r>
      <w:r w:rsidRPr="00FA16E3">
        <w:rPr>
          <w:rFonts w:ascii="Times New Roman" w:eastAsia="Times New Roman" w:hAnsi="Times New Roman" w:cs="Times New Roman"/>
          <w:b/>
          <w:bCs/>
          <w:sz w:val="20"/>
          <w:szCs w:val="20"/>
        </w:rPr>
        <w:t>.</w:t>
      </w:r>
      <w:r>
        <w:rPr>
          <w:rStyle w:val="FootnoteReference"/>
          <w:rFonts w:eastAsia="Times New Roman"/>
          <w:b/>
          <w:bCs/>
          <w:sz w:val="20"/>
          <w:szCs w:val="20"/>
        </w:rPr>
        <w:footnoteReference w:id="2"/>
      </w:r>
    </w:p>
    <w:p w:rsidR="00E62F22" w:rsidRDefault="008D2EE4" w:rsidP="00CC21DB">
      <w:pPr>
        <w:spacing w:line="360" w:lineRule="auto"/>
        <w:rPr>
          <w:rFonts w:ascii="Times New Roman" w:hAnsi="Times New Roman" w:cs="Times New Roman"/>
          <w:sz w:val="24"/>
          <w:szCs w:val="24"/>
        </w:rPr>
      </w:pPr>
      <w:r>
        <w:rPr>
          <w:rFonts w:ascii="Times New Roman" w:hAnsi="Times New Roman" w:cs="Times New Roman"/>
          <w:sz w:val="24"/>
          <w:szCs w:val="24"/>
        </w:rPr>
        <w:t xml:space="preserve">So says the Vice-Chancellor of one Australian university.  </w:t>
      </w:r>
      <w:r w:rsidR="00E62F22">
        <w:rPr>
          <w:rFonts w:ascii="Times New Roman" w:hAnsi="Times New Roman" w:cs="Times New Roman"/>
          <w:sz w:val="24"/>
          <w:szCs w:val="24"/>
        </w:rPr>
        <w:t>Is he right?</w:t>
      </w:r>
    </w:p>
    <w:p w:rsidR="00C94E26" w:rsidRDefault="003F0606" w:rsidP="00CC21DB">
      <w:pPr>
        <w:spacing w:line="360" w:lineRule="auto"/>
        <w:rPr>
          <w:rFonts w:ascii="Times New Roman" w:hAnsi="Times New Roman" w:cs="Times New Roman"/>
          <w:sz w:val="24"/>
          <w:szCs w:val="24"/>
        </w:rPr>
      </w:pPr>
      <w:r w:rsidRPr="00B6620A">
        <w:rPr>
          <w:rFonts w:ascii="Times New Roman" w:hAnsi="Times New Roman" w:cs="Times New Roman"/>
          <w:sz w:val="24"/>
          <w:szCs w:val="24"/>
        </w:rPr>
        <w:t xml:space="preserve">The world of higher education </w:t>
      </w:r>
      <w:r w:rsidR="004C4043">
        <w:rPr>
          <w:rFonts w:ascii="Times New Roman" w:hAnsi="Times New Roman" w:cs="Times New Roman"/>
          <w:sz w:val="24"/>
          <w:szCs w:val="24"/>
        </w:rPr>
        <w:t>in Australia</w:t>
      </w:r>
      <w:r w:rsidR="003913DE">
        <w:rPr>
          <w:rFonts w:ascii="Times New Roman" w:hAnsi="Times New Roman" w:cs="Times New Roman"/>
          <w:sz w:val="24"/>
          <w:szCs w:val="24"/>
        </w:rPr>
        <w:t xml:space="preserve"> </w:t>
      </w:r>
      <w:r w:rsidR="0003553D">
        <w:rPr>
          <w:rFonts w:ascii="Times New Roman" w:hAnsi="Times New Roman" w:cs="Times New Roman"/>
          <w:sz w:val="24"/>
          <w:szCs w:val="24"/>
        </w:rPr>
        <w:t>is undergoing</w:t>
      </w:r>
      <w:r w:rsidRPr="00B6620A">
        <w:rPr>
          <w:rFonts w:ascii="Times New Roman" w:hAnsi="Times New Roman" w:cs="Times New Roman"/>
          <w:sz w:val="24"/>
          <w:szCs w:val="24"/>
        </w:rPr>
        <w:t xml:space="preserve"> </w:t>
      </w:r>
      <w:r w:rsidR="00323790">
        <w:rPr>
          <w:rFonts w:ascii="Times New Roman" w:hAnsi="Times New Roman" w:cs="Times New Roman"/>
          <w:sz w:val="24"/>
          <w:szCs w:val="24"/>
        </w:rPr>
        <w:t>significant reform, precipitated</w:t>
      </w:r>
      <w:r w:rsidR="001D4460">
        <w:rPr>
          <w:rFonts w:ascii="Times New Roman" w:hAnsi="Times New Roman" w:cs="Times New Roman"/>
          <w:sz w:val="24"/>
          <w:szCs w:val="24"/>
        </w:rPr>
        <w:t xml:space="preserve"> by a multitude of factors, both national and global.</w:t>
      </w:r>
      <w:r w:rsidR="00323790">
        <w:rPr>
          <w:rFonts w:ascii="Times New Roman" w:hAnsi="Times New Roman" w:cs="Times New Roman"/>
          <w:sz w:val="24"/>
          <w:szCs w:val="24"/>
        </w:rPr>
        <w:t xml:space="preserve">  Many innovations </w:t>
      </w:r>
      <w:r w:rsidR="001D4460">
        <w:rPr>
          <w:rFonts w:ascii="Times New Roman" w:hAnsi="Times New Roman" w:cs="Times New Roman"/>
          <w:sz w:val="24"/>
          <w:szCs w:val="24"/>
        </w:rPr>
        <w:t xml:space="preserve">are encased in </w:t>
      </w:r>
      <w:r w:rsidR="000F527D">
        <w:rPr>
          <w:rFonts w:ascii="Times New Roman" w:hAnsi="Times New Roman" w:cs="Times New Roman"/>
          <w:sz w:val="24"/>
          <w:szCs w:val="24"/>
        </w:rPr>
        <w:t xml:space="preserve">a suite of new </w:t>
      </w:r>
      <w:r w:rsidR="00095083">
        <w:rPr>
          <w:rFonts w:ascii="Times New Roman" w:hAnsi="Times New Roman" w:cs="Times New Roman"/>
          <w:sz w:val="24"/>
          <w:szCs w:val="24"/>
        </w:rPr>
        <w:t>acronyms</w:t>
      </w:r>
      <w:r w:rsidR="001D4460">
        <w:rPr>
          <w:rFonts w:ascii="Times New Roman" w:hAnsi="Times New Roman" w:cs="Times New Roman"/>
          <w:sz w:val="24"/>
          <w:szCs w:val="24"/>
        </w:rPr>
        <w:t xml:space="preserve">.  </w:t>
      </w:r>
      <w:r w:rsidR="007D1CF3">
        <w:rPr>
          <w:rFonts w:ascii="Times New Roman" w:hAnsi="Times New Roman" w:cs="Times New Roman"/>
          <w:sz w:val="24"/>
          <w:szCs w:val="24"/>
        </w:rPr>
        <w:t xml:space="preserve">Managers, governors and </w:t>
      </w:r>
      <w:r w:rsidR="0003553D">
        <w:rPr>
          <w:rFonts w:ascii="Times New Roman" w:hAnsi="Times New Roman" w:cs="Times New Roman"/>
          <w:sz w:val="24"/>
          <w:szCs w:val="24"/>
        </w:rPr>
        <w:t xml:space="preserve">academics </w:t>
      </w:r>
      <w:r w:rsidR="007D1CF3">
        <w:rPr>
          <w:rFonts w:ascii="Times New Roman" w:hAnsi="Times New Roman" w:cs="Times New Roman"/>
          <w:sz w:val="24"/>
          <w:szCs w:val="24"/>
        </w:rPr>
        <w:t xml:space="preserve">in tertiary institutions </w:t>
      </w:r>
      <w:r w:rsidR="0003553D">
        <w:rPr>
          <w:rFonts w:ascii="Times New Roman" w:hAnsi="Times New Roman" w:cs="Times New Roman"/>
          <w:sz w:val="24"/>
          <w:szCs w:val="24"/>
        </w:rPr>
        <w:t xml:space="preserve">are working hard to </w:t>
      </w:r>
      <w:r w:rsidR="007D1CF3">
        <w:rPr>
          <w:rFonts w:ascii="Times New Roman" w:hAnsi="Times New Roman" w:cs="Times New Roman"/>
          <w:sz w:val="24"/>
          <w:szCs w:val="24"/>
        </w:rPr>
        <w:t xml:space="preserve">adapt to and embrace </w:t>
      </w:r>
      <w:r w:rsidR="00D56ABB">
        <w:rPr>
          <w:rFonts w:ascii="Times New Roman" w:hAnsi="Times New Roman" w:cs="Times New Roman"/>
          <w:sz w:val="24"/>
          <w:szCs w:val="24"/>
        </w:rPr>
        <w:t xml:space="preserve">new </w:t>
      </w:r>
      <w:r w:rsidR="001D4460">
        <w:rPr>
          <w:rFonts w:ascii="Times New Roman" w:hAnsi="Times New Roman" w:cs="Times New Roman"/>
          <w:sz w:val="24"/>
          <w:szCs w:val="24"/>
        </w:rPr>
        <w:t xml:space="preserve">concepts </w:t>
      </w:r>
      <w:r w:rsidR="00D56ABB">
        <w:rPr>
          <w:rFonts w:ascii="Times New Roman" w:hAnsi="Times New Roman" w:cs="Times New Roman"/>
          <w:sz w:val="24"/>
          <w:szCs w:val="24"/>
        </w:rPr>
        <w:t xml:space="preserve">and old ones </w:t>
      </w:r>
      <w:r w:rsidR="00323790">
        <w:rPr>
          <w:rFonts w:ascii="Times New Roman" w:hAnsi="Times New Roman" w:cs="Times New Roman"/>
          <w:sz w:val="24"/>
          <w:szCs w:val="24"/>
        </w:rPr>
        <w:t xml:space="preserve">in ‘new clothing’, like </w:t>
      </w:r>
      <w:r w:rsidR="001D4460">
        <w:rPr>
          <w:rFonts w:ascii="Times New Roman" w:hAnsi="Times New Roman" w:cs="Times New Roman"/>
          <w:sz w:val="24"/>
          <w:szCs w:val="24"/>
        </w:rPr>
        <w:t>na</w:t>
      </w:r>
      <w:r w:rsidR="00323790">
        <w:rPr>
          <w:rFonts w:ascii="Times New Roman" w:hAnsi="Times New Roman" w:cs="Times New Roman"/>
          <w:sz w:val="24"/>
          <w:szCs w:val="24"/>
        </w:rPr>
        <w:t>tional standards and regulation, driven by new bodies such as</w:t>
      </w:r>
      <w:r w:rsidR="001D4460">
        <w:rPr>
          <w:rFonts w:ascii="Times New Roman" w:hAnsi="Times New Roman" w:cs="Times New Roman"/>
          <w:sz w:val="24"/>
          <w:szCs w:val="24"/>
        </w:rPr>
        <w:t xml:space="preserve"> the Higher Education Standards Panel and </w:t>
      </w:r>
      <w:r w:rsidR="007D1CF3">
        <w:rPr>
          <w:rFonts w:ascii="Times New Roman" w:hAnsi="Times New Roman" w:cs="Times New Roman"/>
          <w:sz w:val="24"/>
          <w:szCs w:val="24"/>
        </w:rPr>
        <w:t>the Tertiary Educati</w:t>
      </w:r>
      <w:r w:rsidR="001D4460">
        <w:rPr>
          <w:rFonts w:ascii="Times New Roman" w:hAnsi="Times New Roman" w:cs="Times New Roman"/>
          <w:sz w:val="24"/>
          <w:szCs w:val="24"/>
        </w:rPr>
        <w:t>on Standards and Quality Agency</w:t>
      </w:r>
      <w:r w:rsidR="007D1CF3">
        <w:rPr>
          <w:rFonts w:ascii="Times New Roman" w:hAnsi="Times New Roman" w:cs="Times New Roman"/>
          <w:sz w:val="24"/>
          <w:szCs w:val="24"/>
        </w:rPr>
        <w:t xml:space="preserve">. </w:t>
      </w:r>
      <w:r w:rsidR="001D4460">
        <w:rPr>
          <w:rFonts w:ascii="Times New Roman" w:hAnsi="Times New Roman" w:cs="Times New Roman"/>
          <w:sz w:val="24"/>
          <w:szCs w:val="24"/>
        </w:rPr>
        <w:t xml:space="preserve"> </w:t>
      </w:r>
      <w:r w:rsidR="007D1CF3">
        <w:rPr>
          <w:rFonts w:ascii="Times New Roman" w:hAnsi="Times New Roman" w:cs="Times New Roman"/>
          <w:sz w:val="24"/>
          <w:szCs w:val="24"/>
        </w:rPr>
        <w:t xml:space="preserve">At the same time there </w:t>
      </w:r>
      <w:r w:rsidR="008957CC">
        <w:rPr>
          <w:rFonts w:ascii="Times New Roman" w:hAnsi="Times New Roman" w:cs="Times New Roman"/>
          <w:sz w:val="24"/>
          <w:szCs w:val="24"/>
        </w:rPr>
        <w:t>are many global factors fuelling</w:t>
      </w:r>
      <w:r w:rsidR="007D1CF3">
        <w:rPr>
          <w:rFonts w:ascii="Times New Roman" w:hAnsi="Times New Roman" w:cs="Times New Roman"/>
          <w:sz w:val="24"/>
          <w:szCs w:val="24"/>
        </w:rPr>
        <w:t xml:space="preserve"> </w:t>
      </w:r>
      <w:r w:rsidR="00402B6A">
        <w:rPr>
          <w:rFonts w:ascii="Times New Roman" w:hAnsi="Times New Roman" w:cs="Times New Roman"/>
          <w:sz w:val="24"/>
          <w:szCs w:val="24"/>
        </w:rPr>
        <w:t>uncerta</w:t>
      </w:r>
      <w:r w:rsidR="009A732B">
        <w:rPr>
          <w:rFonts w:ascii="Times New Roman" w:hAnsi="Times New Roman" w:cs="Times New Roman"/>
          <w:sz w:val="24"/>
          <w:szCs w:val="24"/>
        </w:rPr>
        <w:t>inty and speculation</w:t>
      </w:r>
      <w:r w:rsidR="00C94E26">
        <w:rPr>
          <w:rFonts w:ascii="Times New Roman" w:hAnsi="Times New Roman" w:cs="Times New Roman"/>
          <w:sz w:val="24"/>
          <w:szCs w:val="24"/>
        </w:rPr>
        <w:t xml:space="preserve"> which</w:t>
      </w:r>
      <w:r w:rsidR="008957CC">
        <w:rPr>
          <w:rFonts w:ascii="Times New Roman" w:hAnsi="Times New Roman" w:cs="Times New Roman"/>
          <w:sz w:val="24"/>
          <w:szCs w:val="24"/>
        </w:rPr>
        <w:t xml:space="preserve"> go </w:t>
      </w:r>
      <w:r w:rsidR="00323790">
        <w:rPr>
          <w:rFonts w:ascii="Times New Roman" w:hAnsi="Times New Roman" w:cs="Times New Roman"/>
          <w:sz w:val="24"/>
          <w:szCs w:val="24"/>
        </w:rPr>
        <w:t xml:space="preserve">right </w:t>
      </w:r>
      <w:r w:rsidR="007D1CF3">
        <w:rPr>
          <w:rFonts w:ascii="Times New Roman" w:hAnsi="Times New Roman" w:cs="Times New Roman"/>
          <w:sz w:val="24"/>
          <w:szCs w:val="24"/>
        </w:rPr>
        <w:t>to the heart of the sector</w:t>
      </w:r>
      <w:r w:rsidR="00C94E26">
        <w:rPr>
          <w:rFonts w:ascii="Times New Roman" w:hAnsi="Times New Roman" w:cs="Times New Roman"/>
          <w:sz w:val="24"/>
          <w:szCs w:val="24"/>
        </w:rPr>
        <w:t xml:space="preserve"> and </w:t>
      </w:r>
      <w:r w:rsidR="007D1CF3">
        <w:rPr>
          <w:rFonts w:ascii="Times New Roman" w:hAnsi="Times New Roman" w:cs="Times New Roman"/>
          <w:sz w:val="24"/>
          <w:szCs w:val="24"/>
        </w:rPr>
        <w:t>to the current understanding of what is a</w:t>
      </w:r>
      <w:r w:rsidR="00C94E26">
        <w:rPr>
          <w:rFonts w:ascii="Times New Roman" w:hAnsi="Times New Roman" w:cs="Times New Roman"/>
          <w:sz w:val="24"/>
          <w:szCs w:val="24"/>
        </w:rPr>
        <w:t xml:space="preserve"> university and </w:t>
      </w:r>
      <w:r w:rsidR="007D1CF3">
        <w:rPr>
          <w:rFonts w:ascii="Times New Roman" w:hAnsi="Times New Roman" w:cs="Times New Roman"/>
          <w:sz w:val="24"/>
          <w:szCs w:val="24"/>
        </w:rPr>
        <w:t>a university education.   S</w:t>
      </w:r>
      <w:r w:rsidR="008B00EC">
        <w:rPr>
          <w:rFonts w:ascii="Times New Roman" w:hAnsi="Times New Roman" w:cs="Times New Roman"/>
          <w:sz w:val="24"/>
          <w:szCs w:val="24"/>
        </w:rPr>
        <w:t xml:space="preserve">ome are predicting that ‘tinkering’ around the edges of the current systems will no longer wash and the climate in which the sector </w:t>
      </w:r>
      <w:r w:rsidR="007D1CF3">
        <w:rPr>
          <w:rFonts w:ascii="Times New Roman" w:hAnsi="Times New Roman" w:cs="Times New Roman"/>
          <w:sz w:val="24"/>
          <w:szCs w:val="24"/>
        </w:rPr>
        <w:t xml:space="preserve">now </w:t>
      </w:r>
      <w:r w:rsidR="009F1A29">
        <w:rPr>
          <w:rFonts w:ascii="Times New Roman" w:hAnsi="Times New Roman" w:cs="Times New Roman"/>
          <w:sz w:val="24"/>
          <w:szCs w:val="24"/>
        </w:rPr>
        <w:t xml:space="preserve">finds itself has </w:t>
      </w:r>
      <w:r w:rsidR="008B00EC">
        <w:rPr>
          <w:rFonts w:ascii="Times New Roman" w:hAnsi="Times New Roman" w:cs="Times New Roman"/>
          <w:sz w:val="24"/>
          <w:szCs w:val="24"/>
        </w:rPr>
        <w:t>be</w:t>
      </w:r>
      <w:r w:rsidR="009F1A29">
        <w:rPr>
          <w:rFonts w:ascii="Times New Roman" w:hAnsi="Times New Roman" w:cs="Times New Roman"/>
          <w:sz w:val="24"/>
          <w:szCs w:val="24"/>
        </w:rPr>
        <w:t xml:space="preserve">en likened to a tsunami, where we have felt the earthquake but the wave is </w:t>
      </w:r>
      <w:r w:rsidR="008B00EC">
        <w:rPr>
          <w:rFonts w:ascii="Times New Roman" w:hAnsi="Times New Roman" w:cs="Times New Roman"/>
          <w:sz w:val="24"/>
          <w:szCs w:val="24"/>
        </w:rPr>
        <w:t>yet to come.</w:t>
      </w:r>
      <w:r w:rsidR="008B00EC">
        <w:rPr>
          <w:rStyle w:val="FootnoteReference"/>
          <w:sz w:val="24"/>
          <w:szCs w:val="24"/>
        </w:rPr>
        <w:footnoteReference w:id="3"/>
      </w:r>
      <w:r w:rsidR="00C94E26">
        <w:rPr>
          <w:rFonts w:ascii="Times New Roman" w:hAnsi="Times New Roman" w:cs="Times New Roman"/>
          <w:sz w:val="24"/>
          <w:szCs w:val="24"/>
        </w:rPr>
        <w:t xml:space="preserve">  </w:t>
      </w:r>
    </w:p>
    <w:p w:rsidR="009F1A29" w:rsidRDefault="00C94E26" w:rsidP="00CC21DB">
      <w:pPr>
        <w:spacing w:line="360" w:lineRule="auto"/>
        <w:rPr>
          <w:rFonts w:ascii="Times New Roman" w:hAnsi="Times New Roman" w:cs="Times New Roman"/>
          <w:sz w:val="24"/>
          <w:szCs w:val="24"/>
        </w:rPr>
      </w:pPr>
      <w:r>
        <w:rPr>
          <w:rFonts w:ascii="Times New Roman" w:hAnsi="Times New Roman" w:cs="Times New Roman"/>
          <w:sz w:val="24"/>
          <w:szCs w:val="24"/>
        </w:rPr>
        <w:t>Australia of course is not alone in this.  As elsewhere, t</w:t>
      </w:r>
      <w:r w:rsidR="003F0606" w:rsidRPr="00B6620A">
        <w:rPr>
          <w:rFonts w:ascii="Times New Roman" w:hAnsi="Times New Roman" w:cs="Times New Roman"/>
          <w:sz w:val="24"/>
          <w:szCs w:val="24"/>
        </w:rPr>
        <w:t xml:space="preserve">he tertiary education sector </w:t>
      </w:r>
      <w:r w:rsidR="007D1CF3">
        <w:rPr>
          <w:rFonts w:ascii="Times New Roman" w:hAnsi="Times New Roman" w:cs="Times New Roman"/>
          <w:sz w:val="24"/>
          <w:szCs w:val="24"/>
        </w:rPr>
        <w:t xml:space="preserve">is </w:t>
      </w:r>
      <w:r w:rsidR="00300232">
        <w:rPr>
          <w:rFonts w:ascii="Times New Roman" w:hAnsi="Times New Roman" w:cs="Times New Roman"/>
          <w:sz w:val="24"/>
          <w:szCs w:val="24"/>
        </w:rPr>
        <w:t xml:space="preserve">being </w:t>
      </w:r>
      <w:r w:rsidR="003F0606" w:rsidRPr="00B6620A">
        <w:rPr>
          <w:rFonts w:ascii="Times New Roman" w:hAnsi="Times New Roman" w:cs="Times New Roman"/>
          <w:sz w:val="24"/>
          <w:szCs w:val="24"/>
        </w:rPr>
        <w:t>called upon to respond to phenom</w:t>
      </w:r>
      <w:r w:rsidR="00FA4FA5" w:rsidRPr="00B6620A">
        <w:rPr>
          <w:rFonts w:ascii="Times New Roman" w:hAnsi="Times New Roman" w:cs="Times New Roman"/>
          <w:sz w:val="24"/>
          <w:szCs w:val="24"/>
        </w:rPr>
        <w:t>en</w:t>
      </w:r>
      <w:r w:rsidR="003F0606" w:rsidRPr="00B6620A">
        <w:rPr>
          <w:rFonts w:ascii="Times New Roman" w:hAnsi="Times New Roman" w:cs="Times New Roman"/>
          <w:sz w:val="24"/>
          <w:szCs w:val="24"/>
        </w:rPr>
        <w:t xml:space="preserve">a </w:t>
      </w:r>
      <w:r w:rsidR="00FA4FA5" w:rsidRPr="00B6620A">
        <w:rPr>
          <w:rFonts w:ascii="Times New Roman" w:hAnsi="Times New Roman" w:cs="Times New Roman"/>
          <w:sz w:val="24"/>
          <w:szCs w:val="24"/>
        </w:rPr>
        <w:t xml:space="preserve">variously </w:t>
      </w:r>
      <w:r w:rsidR="003F0606" w:rsidRPr="00B6620A">
        <w:rPr>
          <w:rFonts w:ascii="Times New Roman" w:hAnsi="Times New Roman" w:cs="Times New Roman"/>
          <w:sz w:val="24"/>
          <w:szCs w:val="24"/>
        </w:rPr>
        <w:t>referred to as ‘</w:t>
      </w:r>
      <w:proofErr w:type="spellStart"/>
      <w:r w:rsidR="003F0606" w:rsidRPr="00B6620A">
        <w:rPr>
          <w:rFonts w:ascii="Times New Roman" w:hAnsi="Times New Roman" w:cs="Times New Roman"/>
          <w:sz w:val="24"/>
          <w:szCs w:val="24"/>
        </w:rPr>
        <w:t>mass</w:t>
      </w:r>
      <w:r w:rsidR="007E76A2" w:rsidRPr="00B6620A">
        <w:rPr>
          <w:rFonts w:ascii="Times New Roman" w:hAnsi="Times New Roman" w:cs="Times New Roman"/>
          <w:sz w:val="24"/>
          <w:szCs w:val="24"/>
        </w:rPr>
        <w:t>ification</w:t>
      </w:r>
      <w:proofErr w:type="spellEnd"/>
      <w:r w:rsidR="007E76A2" w:rsidRPr="00B6620A">
        <w:rPr>
          <w:rFonts w:ascii="Times New Roman" w:hAnsi="Times New Roman" w:cs="Times New Roman"/>
          <w:sz w:val="24"/>
          <w:szCs w:val="24"/>
        </w:rPr>
        <w:t xml:space="preserve">’, </w:t>
      </w:r>
      <w:r w:rsidR="00FA4FA5" w:rsidRPr="00B6620A">
        <w:rPr>
          <w:rFonts w:ascii="Times New Roman" w:hAnsi="Times New Roman" w:cs="Times New Roman"/>
          <w:sz w:val="24"/>
          <w:szCs w:val="24"/>
        </w:rPr>
        <w:t>‘</w:t>
      </w:r>
      <w:proofErr w:type="spellStart"/>
      <w:r w:rsidR="00FA4FA5" w:rsidRPr="00B6620A">
        <w:rPr>
          <w:rFonts w:ascii="Times New Roman" w:hAnsi="Times New Roman" w:cs="Times New Roman"/>
          <w:sz w:val="24"/>
          <w:szCs w:val="24"/>
        </w:rPr>
        <w:t>commodification</w:t>
      </w:r>
      <w:proofErr w:type="spellEnd"/>
      <w:r w:rsidR="00FA4FA5" w:rsidRPr="00B6620A">
        <w:rPr>
          <w:rFonts w:ascii="Times New Roman" w:hAnsi="Times New Roman" w:cs="Times New Roman"/>
          <w:sz w:val="24"/>
          <w:szCs w:val="24"/>
        </w:rPr>
        <w:t>’</w:t>
      </w:r>
      <w:r w:rsidR="007E76A2" w:rsidRPr="00B6620A">
        <w:rPr>
          <w:rFonts w:ascii="Times New Roman" w:hAnsi="Times New Roman" w:cs="Times New Roman"/>
          <w:sz w:val="24"/>
          <w:szCs w:val="24"/>
        </w:rPr>
        <w:t xml:space="preserve"> and ‘commercialisation’</w:t>
      </w:r>
      <w:r w:rsidR="00300232">
        <w:rPr>
          <w:rFonts w:ascii="Times New Roman" w:hAnsi="Times New Roman" w:cs="Times New Roman"/>
          <w:sz w:val="24"/>
          <w:szCs w:val="24"/>
        </w:rPr>
        <w:t xml:space="preserve">, accompanied </w:t>
      </w:r>
      <w:r w:rsidR="008957CC">
        <w:rPr>
          <w:rFonts w:ascii="Times New Roman" w:hAnsi="Times New Roman" w:cs="Times New Roman"/>
          <w:sz w:val="24"/>
          <w:szCs w:val="24"/>
        </w:rPr>
        <w:t xml:space="preserve">and assisted </w:t>
      </w:r>
      <w:r w:rsidR="00300232">
        <w:rPr>
          <w:rFonts w:ascii="Times New Roman" w:hAnsi="Times New Roman" w:cs="Times New Roman"/>
          <w:sz w:val="24"/>
          <w:szCs w:val="24"/>
        </w:rPr>
        <w:t xml:space="preserve">by </w:t>
      </w:r>
      <w:r w:rsidR="00CA31B0">
        <w:rPr>
          <w:rFonts w:ascii="Times New Roman" w:hAnsi="Times New Roman" w:cs="Times New Roman"/>
          <w:sz w:val="24"/>
          <w:szCs w:val="24"/>
        </w:rPr>
        <w:t>the rapidly accelerating impact of technology.  Governments are requiring much of universities in terms of widening participation without compromising standards and quality</w:t>
      </w:r>
      <w:r w:rsidR="00300232">
        <w:rPr>
          <w:rFonts w:ascii="Times New Roman" w:hAnsi="Times New Roman" w:cs="Times New Roman"/>
          <w:sz w:val="24"/>
          <w:szCs w:val="24"/>
        </w:rPr>
        <w:t>,</w:t>
      </w:r>
      <w:r w:rsidR="00CA31B0">
        <w:rPr>
          <w:rFonts w:ascii="Times New Roman" w:hAnsi="Times New Roman" w:cs="Times New Roman"/>
          <w:sz w:val="24"/>
          <w:szCs w:val="24"/>
        </w:rPr>
        <w:t xml:space="preserve"> and accountability for the public dollar spent in teaching and </w:t>
      </w:r>
      <w:r w:rsidR="00CA31B0">
        <w:rPr>
          <w:rFonts w:ascii="Times New Roman" w:hAnsi="Times New Roman" w:cs="Times New Roman"/>
          <w:sz w:val="24"/>
          <w:szCs w:val="24"/>
        </w:rPr>
        <w:lastRenderedPageBreak/>
        <w:t xml:space="preserve">learning, and research. </w:t>
      </w:r>
      <w:r w:rsidR="00AE1732">
        <w:rPr>
          <w:rFonts w:ascii="Times New Roman" w:hAnsi="Times New Roman" w:cs="Times New Roman"/>
          <w:sz w:val="24"/>
          <w:szCs w:val="24"/>
        </w:rPr>
        <w:t xml:space="preserve">While the </w:t>
      </w:r>
      <w:r w:rsidR="000F527D">
        <w:rPr>
          <w:rFonts w:ascii="Times New Roman" w:hAnsi="Times New Roman" w:cs="Times New Roman"/>
          <w:sz w:val="24"/>
          <w:szCs w:val="24"/>
        </w:rPr>
        <w:t xml:space="preserve">Australian </w:t>
      </w:r>
      <w:r w:rsidR="00AE1732">
        <w:rPr>
          <w:rFonts w:ascii="Times New Roman" w:hAnsi="Times New Roman" w:cs="Times New Roman"/>
          <w:sz w:val="24"/>
          <w:szCs w:val="24"/>
        </w:rPr>
        <w:t xml:space="preserve">Commonwealth Government has no power to legislate with respect to education </w:t>
      </w:r>
      <w:r w:rsidR="00AE1732">
        <w:rPr>
          <w:rFonts w:ascii="Times New Roman" w:hAnsi="Times New Roman" w:cs="Times New Roman"/>
          <w:i/>
          <w:sz w:val="24"/>
          <w:szCs w:val="24"/>
        </w:rPr>
        <w:t>per se,</w:t>
      </w:r>
      <w:r w:rsidR="00F9717A">
        <w:rPr>
          <w:rFonts w:ascii="Times New Roman" w:hAnsi="Times New Roman" w:cs="Times New Roman"/>
          <w:sz w:val="24"/>
          <w:szCs w:val="24"/>
        </w:rPr>
        <w:t xml:space="preserve"> </w:t>
      </w:r>
      <w:r w:rsidR="00300232">
        <w:rPr>
          <w:rFonts w:ascii="Times New Roman" w:hAnsi="Times New Roman" w:cs="Times New Roman"/>
          <w:sz w:val="24"/>
          <w:szCs w:val="24"/>
        </w:rPr>
        <w:t xml:space="preserve">it has </w:t>
      </w:r>
      <w:r w:rsidR="009D154F">
        <w:rPr>
          <w:rFonts w:ascii="Times New Roman" w:hAnsi="Times New Roman" w:cs="Times New Roman"/>
          <w:sz w:val="24"/>
          <w:szCs w:val="24"/>
        </w:rPr>
        <w:t xml:space="preserve">increasingly </w:t>
      </w:r>
      <w:r w:rsidR="00300232">
        <w:rPr>
          <w:rFonts w:ascii="Times New Roman" w:hAnsi="Times New Roman" w:cs="Times New Roman"/>
          <w:sz w:val="24"/>
          <w:szCs w:val="24"/>
        </w:rPr>
        <w:t>used</w:t>
      </w:r>
      <w:r w:rsidR="009D154F">
        <w:rPr>
          <w:rFonts w:ascii="Times New Roman" w:hAnsi="Times New Roman" w:cs="Times New Roman"/>
          <w:sz w:val="24"/>
          <w:szCs w:val="24"/>
        </w:rPr>
        <w:t xml:space="preserve"> its constitutional funding leverage</w:t>
      </w:r>
      <w:r w:rsidR="00AE1732">
        <w:rPr>
          <w:rStyle w:val="FootnoteReference"/>
          <w:sz w:val="24"/>
          <w:szCs w:val="24"/>
        </w:rPr>
        <w:footnoteReference w:id="4"/>
      </w:r>
      <w:r w:rsidR="009D154F">
        <w:rPr>
          <w:rFonts w:ascii="Times New Roman" w:hAnsi="Times New Roman" w:cs="Times New Roman"/>
          <w:sz w:val="24"/>
          <w:szCs w:val="24"/>
        </w:rPr>
        <w:t xml:space="preserve"> to impose controls over universities</w:t>
      </w:r>
      <w:r w:rsidR="00AE1732">
        <w:rPr>
          <w:rFonts w:ascii="Times New Roman" w:hAnsi="Times New Roman" w:cs="Times New Roman"/>
          <w:sz w:val="24"/>
          <w:szCs w:val="24"/>
        </w:rPr>
        <w:t>.</w:t>
      </w:r>
      <w:r w:rsidR="00AE1732">
        <w:rPr>
          <w:rStyle w:val="FootnoteReference"/>
          <w:sz w:val="24"/>
          <w:szCs w:val="24"/>
        </w:rPr>
        <w:footnoteReference w:id="5"/>
      </w:r>
      <w:r w:rsidR="004E0CDD">
        <w:rPr>
          <w:rFonts w:ascii="Times New Roman" w:hAnsi="Times New Roman" w:cs="Times New Roman"/>
          <w:sz w:val="24"/>
          <w:szCs w:val="24"/>
        </w:rPr>
        <w:t xml:space="preserve"> </w:t>
      </w:r>
    </w:p>
    <w:p w:rsidR="00CC21DB" w:rsidRDefault="004E0CDD" w:rsidP="00CC21DB">
      <w:pPr>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r w:rsidR="00B6225C" w:rsidRPr="00B6620A">
        <w:rPr>
          <w:rFonts w:ascii="Times New Roman" w:hAnsi="Times New Roman" w:cs="Times New Roman"/>
          <w:sz w:val="24"/>
          <w:szCs w:val="24"/>
        </w:rPr>
        <w:t>past decades, the sector has become increasingly reliant on the international student dollar</w:t>
      </w:r>
      <w:r w:rsidR="00CA31B0">
        <w:rPr>
          <w:rFonts w:ascii="Times New Roman" w:hAnsi="Times New Roman" w:cs="Times New Roman"/>
          <w:sz w:val="24"/>
          <w:szCs w:val="24"/>
        </w:rPr>
        <w:t xml:space="preserve"> and in recent years </w:t>
      </w:r>
      <w:r w:rsidR="00B6225C" w:rsidRPr="00B6620A">
        <w:rPr>
          <w:rFonts w:ascii="Times New Roman" w:hAnsi="Times New Roman" w:cs="Times New Roman"/>
          <w:sz w:val="24"/>
          <w:szCs w:val="24"/>
        </w:rPr>
        <w:t>various factors</w:t>
      </w:r>
      <w:r w:rsidR="00B6225C">
        <w:rPr>
          <w:rFonts w:ascii="Times New Roman" w:hAnsi="Times New Roman" w:cs="Times New Roman"/>
          <w:sz w:val="24"/>
          <w:szCs w:val="24"/>
        </w:rPr>
        <w:t xml:space="preserve">, mostly </w:t>
      </w:r>
      <w:r w:rsidR="00B6225C" w:rsidRPr="00B6620A">
        <w:rPr>
          <w:rFonts w:ascii="Times New Roman" w:hAnsi="Times New Roman" w:cs="Times New Roman"/>
          <w:sz w:val="24"/>
          <w:szCs w:val="24"/>
        </w:rPr>
        <w:t xml:space="preserve">outside </w:t>
      </w:r>
      <w:r w:rsidR="00CA31B0">
        <w:rPr>
          <w:rFonts w:ascii="Times New Roman" w:hAnsi="Times New Roman" w:cs="Times New Roman"/>
          <w:sz w:val="24"/>
          <w:szCs w:val="24"/>
        </w:rPr>
        <w:t xml:space="preserve">the universities’ control, </w:t>
      </w:r>
      <w:r w:rsidR="00B6225C" w:rsidRPr="00B6620A">
        <w:rPr>
          <w:rFonts w:ascii="Times New Roman" w:hAnsi="Times New Roman" w:cs="Times New Roman"/>
          <w:sz w:val="24"/>
          <w:szCs w:val="24"/>
        </w:rPr>
        <w:t>have led to worrying fluctuations</w:t>
      </w:r>
      <w:r w:rsidR="00CA31B0">
        <w:rPr>
          <w:rFonts w:ascii="Times New Roman" w:hAnsi="Times New Roman" w:cs="Times New Roman"/>
          <w:sz w:val="24"/>
          <w:szCs w:val="24"/>
        </w:rPr>
        <w:t xml:space="preserve"> in international student numbers</w:t>
      </w:r>
      <w:r w:rsidR="00B6225C" w:rsidRPr="00B6620A">
        <w:rPr>
          <w:rFonts w:ascii="Times New Roman" w:hAnsi="Times New Roman" w:cs="Times New Roman"/>
          <w:sz w:val="24"/>
          <w:szCs w:val="24"/>
        </w:rPr>
        <w:t>.</w:t>
      </w:r>
      <w:r w:rsidR="00B6225C">
        <w:rPr>
          <w:rStyle w:val="FootnoteReference"/>
          <w:sz w:val="24"/>
          <w:szCs w:val="24"/>
        </w:rPr>
        <w:footnoteReference w:id="6"/>
      </w:r>
      <w:r w:rsidR="00B6225C" w:rsidRPr="00B6620A">
        <w:rPr>
          <w:rFonts w:ascii="Times New Roman" w:hAnsi="Times New Roman" w:cs="Times New Roman"/>
          <w:sz w:val="24"/>
          <w:szCs w:val="24"/>
        </w:rPr>
        <w:t xml:space="preserve">  </w:t>
      </w:r>
      <w:r w:rsidR="00B6225C">
        <w:rPr>
          <w:rFonts w:ascii="Times New Roman" w:hAnsi="Times New Roman" w:cs="Times New Roman"/>
          <w:sz w:val="24"/>
          <w:szCs w:val="24"/>
        </w:rPr>
        <w:t xml:space="preserve">In any event, such reliance has been criticized by many as ‘immoral’.  </w:t>
      </w:r>
      <w:r>
        <w:rPr>
          <w:rFonts w:ascii="Times New Roman" w:hAnsi="Times New Roman" w:cs="Times New Roman"/>
          <w:sz w:val="24"/>
          <w:szCs w:val="24"/>
        </w:rPr>
        <w:t xml:space="preserve">There are now </w:t>
      </w:r>
      <w:r w:rsidR="009D154F">
        <w:rPr>
          <w:rFonts w:ascii="Times New Roman" w:hAnsi="Times New Roman" w:cs="Times New Roman"/>
          <w:sz w:val="24"/>
          <w:szCs w:val="24"/>
        </w:rPr>
        <w:t xml:space="preserve">calls </w:t>
      </w:r>
      <w:r w:rsidR="00AE1732">
        <w:rPr>
          <w:rFonts w:ascii="Times New Roman" w:hAnsi="Times New Roman" w:cs="Times New Roman"/>
          <w:sz w:val="24"/>
          <w:szCs w:val="24"/>
        </w:rPr>
        <w:t xml:space="preserve">by some </w:t>
      </w:r>
      <w:r w:rsidR="009D154F">
        <w:rPr>
          <w:rFonts w:ascii="Times New Roman" w:hAnsi="Times New Roman" w:cs="Times New Roman"/>
          <w:sz w:val="24"/>
          <w:szCs w:val="24"/>
        </w:rPr>
        <w:t xml:space="preserve">for deregulation of </w:t>
      </w:r>
      <w:r w:rsidR="00AE1732">
        <w:rPr>
          <w:rFonts w:ascii="Times New Roman" w:hAnsi="Times New Roman" w:cs="Times New Roman"/>
          <w:sz w:val="24"/>
          <w:szCs w:val="24"/>
        </w:rPr>
        <w:t xml:space="preserve">the </w:t>
      </w:r>
      <w:r w:rsidR="009D154F">
        <w:rPr>
          <w:rFonts w:ascii="Times New Roman" w:hAnsi="Times New Roman" w:cs="Times New Roman"/>
          <w:sz w:val="24"/>
          <w:szCs w:val="24"/>
        </w:rPr>
        <w:t>fees</w:t>
      </w:r>
      <w:r w:rsidR="009E195E">
        <w:rPr>
          <w:rFonts w:ascii="Times New Roman" w:hAnsi="Times New Roman" w:cs="Times New Roman"/>
          <w:sz w:val="24"/>
          <w:szCs w:val="24"/>
        </w:rPr>
        <w:t xml:space="preserve"> of local students and murmurings about reducing government tuition fee contributions.</w:t>
      </w:r>
      <w:r w:rsidR="007A152E" w:rsidRPr="00B6620A">
        <w:rPr>
          <w:rFonts w:ascii="Times New Roman" w:hAnsi="Times New Roman" w:cs="Times New Roman"/>
          <w:sz w:val="24"/>
          <w:szCs w:val="24"/>
        </w:rPr>
        <w:t xml:space="preserve"> </w:t>
      </w:r>
      <w:r>
        <w:rPr>
          <w:rFonts w:ascii="Times New Roman" w:hAnsi="Times New Roman" w:cs="Times New Roman"/>
          <w:sz w:val="24"/>
          <w:szCs w:val="24"/>
        </w:rPr>
        <w:t xml:space="preserve"> </w:t>
      </w:r>
      <w:r w:rsidR="00CC21DB">
        <w:rPr>
          <w:rFonts w:ascii="Times New Roman" w:hAnsi="Times New Roman" w:cs="Times New Roman"/>
          <w:sz w:val="24"/>
          <w:szCs w:val="24"/>
        </w:rPr>
        <w:t>At the same time and consistent with comparative jurisdictions, t</w:t>
      </w:r>
      <w:r w:rsidR="00CC21DB" w:rsidRPr="00B6620A">
        <w:rPr>
          <w:rFonts w:ascii="Times New Roman" w:hAnsi="Times New Roman" w:cs="Times New Roman"/>
          <w:sz w:val="24"/>
          <w:szCs w:val="24"/>
        </w:rPr>
        <w:t xml:space="preserve">here is (and rightly) a greater national call for initiatives in equity and diversity, indigenous education and generally widening participation in university education.  </w:t>
      </w:r>
    </w:p>
    <w:p w:rsidR="008957CC" w:rsidRDefault="0076484C" w:rsidP="002E281B">
      <w:pPr>
        <w:spacing w:line="360" w:lineRule="auto"/>
        <w:rPr>
          <w:rFonts w:ascii="Times New Roman" w:hAnsi="Times New Roman" w:cs="Times New Roman"/>
          <w:sz w:val="24"/>
          <w:szCs w:val="24"/>
        </w:rPr>
      </w:pPr>
      <w:r>
        <w:rPr>
          <w:rFonts w:ascii="Times New Roman" w:hAnsi="Times New Roman" w:cs="Times New Roman"/>
          <w:sz w:val="24"/>
          <w:szCs w:val="24"/>
        </w:rPr>
        <w:t>A</w:t>
      </w:r>
      <w:r w:rsidR="00CC21DB">
        <w:rPr>
          <w:rFonts w:ascii="Times New Roman" w:hAnsi="Times New Roman" w:cs="Times New Roman"/>
          <w:sz w:val="24"/>
          <w:szCs w:val="24"/>
        </w:rPr>
        <w:t>s an imperative, u</w:t>
      </w:r>
      <w:r w:rsidR="00F9717A">
        <w:rPr>
          <w:rFonts w:ascii="Times New Roman" w:hAnsi="Times New Roman" w:cs="Times New Roman"/>
          <w:sz w:val="24"/>
          <w:szCs w:val="24"/>
        </w:rPr>
        <w:t xml:space="preserve">niversities are </w:t>
      </w:r>
      <w:r>
        <w:rPr>
          <w:rFonts w:ascii="Times New Roman" w:hAnsi="Times New Roman" w:cs="Times New Roman"/>
          <w:sz w:val="24"/>
          <w:szCs w:val="24"/>
        </w:rPr>
        <w:t xml:space="preserve">directed evermore </w:t>
      </w:r>
      <w:r w:rsidR="00F9717A">
        <w:rPr>
          <w:rFonts w:ascii="Times New Roman" w:hAnsi="Times New Roman" w:cs="Times New Roman"/>
          <w:sz w:val="24"/>
          <w:szCs w:val="24"/>
        </w:rPr>
        <w:t xml:space="preserve">to </w:t>
      </w:r>
      <w:r w:rsidR="00CC21DB">
        <w:rPr>
          <w:rFonts w:ascii="Times New Roman" w:hAnsi="Times New Roman" w:cs="Times New Roman"/>
          <w:sz w:val="24"/>
          <w:szCs w:val="24"/>
        </w:rPr>
        <w:t xml:space="preserve">have their primary </w:t>
      </w:r>
      <w:r w:rsidR="00F9717A">
        <w:rPr>
          <w:rFonts w:ascii="Times New Roman" w:hAnsi="Times New Roman" w:cs="Times New Roman"/>
          <w:sz w:val="24"/>
          <w:szCs w:val="24"/>
        </w:rPr>
        <w:t xml:space="preserve">focus on </w:t>
      </w:r>
      <w:r w:rsidR="00CC21DB">
        <w:rPr>
          <w:rFonts w:ascii="Times New Roman" w:hAnsi="Times New Roman" w:cs="Times New Roman"/>
          <w:sz w:val="24"/>
          <w:szCs w:val="24"/>
        </w:rPr>
        <w:t xml:space="preserve">quality and standards.  They are </w:t>
      </w:r>
      <w:r>
        <w:rPr>
          <w:rFonts w:ascii="Times New Roman" w:hAnsi="Times New Roman" w:cs="Times New Roman"/>
          <w:sz w:val="24"/>
          <w:szCs w:val="24"/>
        </w:rPr>
        <w:t xml:space="preserve">required </w:t>
      </w:r>
      <w:r w:rsidR="00CC21DB">
        <w:rPr>
          <w:rFonts w:ascii="Times New Roman" w:hAnsi="Times New Roman" w:cs="Times New Roman"/>
          <w:sz w:val="24"/>
          <w:szCs w:val="24"/>
        </w:rPr>
        <w:t xml:space="preserve">to pay increasing attention to the identification and amelioration of </w:t>
      </w:r>
      <w:r w:rsidR="00F9717A">
        <w:rPr>
          <w:rFonts w:ascii="Times New Roman" w:hAnsi="Times New Roman" w:cs="Times New Roman"/>
          <w:sz w:val="24"/>
          <w:szCs w:val="24"/>
        </w:rPr>
        <w:t xml:space="preserve">academic risk while being encouraged to be innovative and creative.  For academics, there are </w:t>
      </w:r>
      <w:r w:rsidR="000F527D">
        <w:rPr>
          <w:rFonts w:ascii="Times New Roman" w:hAnsi="Times New Roman" w:cs="Times New Roman"/>
          <w:sz w:val="24"/>
          <w:szCs w:val="24"/>
        </w:rPr>
        <w:t xml:space="preserve">ever mounting </w:t>
      </w:r>
      <w:r w:rsidR="00F9717A">
        <w:rPr>
          <w:rFonts w:ascii="Times New Roman" w:hAnsi="Times New Roman" w:cs="Times New Roman"/>
          <w:sz w:val="24"/>
          <w:szCs w:val="24"/>
        </w:rPr>
        <w:t>pressures</w:t>
      </w:r>
      <w:r w:rsidR="00E47E47" w:rsidRPr="00B6620A">
        <w:rPr>
          <w:rFonts w:ascii="Times New Roman" w:hAnsi="Times New Roman" w:cs="Times New Roman"/>
          <w:sz w:val="24"/>
          <w:szCs w:val="24"/>
        </w:rPr>
        <w:t xml:space="preserve"> </w:t>
      </w:r>
      <w:r w:rsidR="00F9717A">
        <w:rPr>
          <w:rFonts w:ascii="Times New Roman" w:hAnsi="Times New Roman" w:cs="Times New Roman"/>
          <w:sz w:val="24"/>
          <w:szCs w:val="24"/>
        </w:rPr>
        <w:t xml:space="preserve">in terms of research </w:t>
      </w:r>
      <w:r w:rsidR="00E47E47" w:rsidRPr="00B6620A">
        <w:rPr>
          <w:rFonts w:ascii="Times New Roman" w:hAnsi="Times New Roman" w:cs="Times New Roman"/>
          <w:sz w:val="24"/>
          <w:szCs w:val="24"/>
        </w:rPr>
        <w:t>and</w:t>
      </w:r>
      <w:r w:rsidR="00F9717A">
        <w:rPr>
          <w:rFonts w:ascii="Times New Roman" w:hAnsi="Times New Roman" w:cs="Times New Roman"/>
          <w:sz w:val="24"/>
          <w:szCs w:val="24"/>
        </w:rPr>
        <w:t xml:space="preserve"> the</w:t>
      </w:r>
      <w:r w:rsidR="008957CC">
        <w:rPr>
          <w:rFonts w:ascii="Times New Roman" w:hAnsi="Times New Roman" w:cs="Times New Roman"/>
          <w:sz w:val="24"/>
          <w:szCs w:val="24"/>
        </w:rPr>
        <w:t xml:space="preserve"> need to demonstrate </w:t>
      </w:r>
      <w:r w:rsidR="00361C1B" w:rsidRPr="00B6620A">
        <w:rPr>
          <w:rFonts w:ascii="Times New Roman" w:hAnsi="Times New Roman" w:cs="Times New Roman"/>
          <w:sz w:val="24"/>
          <w:szCs w:val="24"/>
        </w:rPr>
        <w:t xml:space="preserve">‘research impact’ </w:t>
      </w:r>
      <w:r w:rsidR="008957CC">
        <w:rPr>
          <w:rFonts w:ascii="Times New Roman" w:hAnsi="Times New Roman" w:cs="Times New Roman"/>
          <w:sz w:val="24"/>
          <w:szCs w:val="24"/>
        </w:rPr>
        <w:t>to account for the public dollar.</w:t>
      </w:r>
    </w:p>
    <w:p w:rsidR="0064781A" w:rsidRDefault="000F527D" w:rsidP="002E281B">
      <w:pPr>
        <w:spacing w:line="360" w:lineRule="auto"/>
        <w:rPr>
          <w:rFonts w:ascii="Times New Roman" w:hAnsi="Times New Roman" w:cs="Times New Roman"/>
          <w:sz w:val="24"/>
          <w:szCs w:val="24"/>
        </w:rPr>
      </w:pPr>
      <w:r>
        <w:rPr>
          <w:rFonts w:ascii="Times New Roman" w:hAnsi="Times New Roman" w:cs="Times New Roman"/>
          <w:sz w:val="24"/>
          <w:szCs w:val="24"/>
        </w:rPr>
        <w:t>At the same time</w:t>
      </w:r>
      <w:r w:rsidR="00E47E47" w:rsidRPr="00B6620A">
        <w:rPr>
          <w:rFonts w:ascii="Times New Roman" w:hAnsi="Times New Roman" w:cs="Times New Roman"/>
          <w:sz w:val="24"/>
          <w:szCs w:val="24"/>
        </w:rPr>
        <w:t xml:space="preserve">, universities are </w:t>
      </w:r>
      <w:r w:rsidR="007E76A2" w:rsidRPr="00B6620A">
        <w:rPr>
          <w:rFonts w:ascii="Times New Roman" w:hAnsi="Times New Roman" w:cs="Times New Roman"/>
          <w:sz w:val="24"/>
          <w:szCs w:val="24"/>
        </w:rPr>
        <w:t>coping with the emergence of new (and exciting) teaching and learning methods and p</w:t>
      </w:r>
      <w:r w:rsidR="00E47E47" w:rsidRPr="00B6620A">
        <w:rPr>
          <w:rFonts w:ascii="Times New Roman" w:hAnsi="Times New Roman" w:cs="Times New Roman"/>
          <w:sz w:val="24"/>
          <w:szCs w:val="24"/>
        </w:rPr>
        <w:t>latforms afforded by technology</w:t>
      </w:r>
      <w:r w:rsidR="006150C8">
        <w:rPr>
          <w:rFonts w:ascii="Times New Roman" w:hAnsi="Times New Roman" w:cs="Times New Roman"/>
          <w:sz w:val="24"/>
          <w:szCs w:val="24"/>
        </w:rPr>
        <w:t>,</w:t>
      </w:r>
      <w:r w:rsidR="00E47E47" w:rsidRPr="00B6620A">
        <w:rPr>
          <w:rFonts w:ascii="Times New Roman" w:hAnsi="Times New Roman" w:cs="Times New Roman"/>
          <w:sz w:val="24"/>
          <w:szCs w:val="24"/>
        </w:rPr>
        <w:t xml:space="preserve"> and </w:t>
      </w:r>
      <w:r w:rsidR="007E552C" w:rsidRPr="00B6620A">
        <w:rPr>
          <w:rFonts w:ascii="Times New Roman" w:hAnsi="Times New Roman" w:cs="Times New Roman"/>
          <w:sz w:val="24"/>
          <w:szCs w:val="24"/>
        </w:rPr>
        <w:t xml:space="preserve">considering </w:t>
      </w:r>
      <w:r w:rsidR="00E47E47" w:rsidRPr="00B6620A">
        <w:rPr>
          <w:rFonts w:ascii="Times New Roman" w:hAnsi="Times New Roman" w:cs="Times New Roman"/>
          <w:sz w:val="24"/>
          <w:szCs w:val="24"/>
        </w:rPr>
        <w:t>how best they may be implemented</w:t>
      </w:r>
      <w:r w:rsidR="008957CC">
        <w:rPr>
          <w:rFonts w:ascii="Times New Roman" w:hAnsi="Times New Roman" w:cs="Times New Roman"/>
          <w:sz w:val="24"/>
          <w:szCs w:val="24"/>
        </w:rPr>
        <w:t xml:space="preserve"> to accommodate the new generation of students</w:t>
      </w:r>
      <w:r w:rsidR="00E47E47" w:rsidRPr="00B6620A">
        <w:rPr>
          <w:rFonts w:ascii="Times New Roman" w:hAnsi="Times New Roman" w:cs="Times New Roman"/>
          <w:sz w:val="24"/>
          <w:szCs w:val="24"/>
        </w:rPr>
        <w:t>.</w:t>
      </w:r>
      <w:r w:rsidR="007E76A2" w:rsidRPr="00B6620A">
        <w:rPr>
          <w:rFonts w:ascii="Times New Roman" w:hAnsi="Times New Roman" w:cs="Times New Roman"/>
          <w:sz w:val="24"/>
          <w:szCs w:val="24"/>
        </w:rPr>
        <w:t xml:space="preserve"> </w:t>
      </w:r>
      <w:r w:rsidR="008957CC">
        <w:rPr>
          <w:rFonts w:ascii="Times New Roman" w:hAnsi="Times New Roman" w:cs="Times New Roman"/>
          <w:sz w:val="24"/>
          <w:szCs w:val="24"/>
        </w:rPr>
        <w:t xml:space="preserve"> Now, in that context</w:t>
      </w:r>
      <w:r w:rsidR="009F1A29">
        <w:rPr>
          <w:rFonts w:ascii="Times New Roman" w:hAnsi="Times New Roman" w:cs="Times New Roman"/>
          <w:sz w:val="24"/>
          <w:szCs w:val="24"/>
        </w:rPr>
        <w:t xml:space="preserve">, </w:t>
      </w:r>
      <w:r w:rsidR="00B6225C">
        <w:rPr>
          <w:rFonts w:ascii="Times New Roman" w:hAnsi="Times New Roman" w:cs="Times New Roman"/>
          <w:sz w:val="24"/>
          <w:szCs w:val="24"/>
        </w:rPr>
        <w:t xml:space="preserve">the sector is </w:t>
      </w:r>
      <w:r w:rsidR="00CA31B0">
        <w:rPr>
          <w:rFonts w:ascii="Times New Roman" w:hAnsi="Times New Roman" w:cs="Times New Roman"/>
          <w:sz w:val="24"/>
          <w:szCs w:val="24"/>
        </w:rPr>
        <w:t xml:space="preserve">exercised by the </w:t>
      </w:r>
      <w:r w:rsidR="007E76A2" w:rsidRPr="00B6620A">
        <w:rPr>
          <w:rFonts w:ascii="Times New Roman" w:hAnsi="Times New Roman" w:cs="Times New Roman"/>
          <w:sz w:val="24"/>
          <w:szCs w:val="24"/>
        </w:rPr>
        <w:t>rise in M</w:t>
      </w:r>
      <w:r w:rsidR="00E47E47" w:rsidRPr="00B6620A">
        <w:rPr>
          <w:rFonts w:ascii="Times New Roman" w:hAnsi="Times New Roman" w:cs="Times New Roman"/>
          <w:sz w:val="24"/>
          <w:szCs w:val="24"/>
        </w:rPr>
        <w:t>OOCs or Mass Online Open Courses</w:t>
      </w:r>
      <w:r w:rsidR="00CA31B0">
        <w:rPr>
          <w:rFonts w:ascii="Times New Roman" w:hAnsi="Times New Roman" w:cs="Times New Roman"/>
          <w:sz w:val="24"/>
          <w:szCs w:val="24"/>
        </w:rPr>
        <w:t xml:space="preserve"> developed </w:t>
      </w:r>
      <w:r w:rsidR="00300232">
        <w:rPr>
          <w:rFonts w:ascii="Times New Roman" w:hAnsi="Times New Roman" w:cs="Times New Roman"/>
          <w:sz w:val="24"/>
          <w:szCs w:val="24"/>
        </w:rPr>
        <w:t xml:space="preserve">primarily </w:t>
      </w:r>
      <w:r w:rsidR="00CA31B0">
        <w:rPr>
          <w:rFonts w:ascii="Times New Roman" w:hAnsi="Times New Roman" w:cs="Times New Roman"/>
          <w:sz w:val="24"/>
          <w:szCs w:val="24"/>
        </w:rPr>
        <w:t xml:space="preserve">by </w:t>
      </w:r>
      <w:r w:rsidR="00300232">
        <w:rPr>
          <w:rFonts w:ascii="Times New Roman" w:hAnsi="Times New Roman" w:cs="Times New Roman"/>
          <w:sz w:val="24"/>
          <w:szCs w:val="24"/>
        </w:rPr>
        <w:t xml:space="preserve">some </w:t>
      </w:r>
      <w:r w:rsidR="00CA31B0">
        <w:rPr>
          <w:rFonts w:ascii="Times New Roman" w:hAnsi="Times New Roman" w:cs="Times New Roman"/>
          <w:sz w:val="24"/>
          <w:szCs w:val="24"/>
        </w:rPr>
        <w:t>US universities</w:t>
      </w:r>
      <w:r w:rsidR="00300232">
        <w:rPr>
          <w:rFonts w:ascii="Times New Roman" w:hAnsi="Times New Roman" w:cs="Times New Roman"/>
          <w:sz w:val="24"/>
          <w:szCs w:val="24"/>
        </w:rPr>
        <w:t>.</w:t>
      </w:r>
      <w:r w:rsidR="007E552C" w:rsidRPr="00B6620A">
        <w:rPr>
          <w:rFonts w:ascii="Times New Roman" w:hAnsi="Times New Roman" w:cs="Times New Roman"/>
          <w:sz w:val="24"/>
          <w:szCs w:val="24"/>
        </w:rPr>
        <w:t xml:space="preserve">  Should they be feared or</w:t>
      </w:r>
      <w:r w:rsidR="00E47E47" w:rsidRPr="00B6620A">
        <w:rPr>
          <w:rFonts w:ascii="Times New Roman" w:hAnsi="Times New Roman" w:cs="Times New Roman"/>
          <w:sz w:val="24"/>
          <w:szCs w:val="24"/>
        </w:rPr>
        <w:t xml:space="preserve"> embrace</w:t>
      </w:r>
      <w:r w:rsidR="007E552C" w:rsidRPr="00B6620A">
        <w:rPr>
          <w:rFonts w:ascii="Times New Roman" w:hAnsi="Times New Roman" w:cs="Times New Roman"/>
          <w:sz w:val="24"/>
          <w:szCs w:val="24"/>
        </w:rPr>
        <w:t>d, and what do they mean to our perception of ‘a university’ and a university education?</w:t>
      </w:r>
      <w:r w:rsidR="00E47E47" w:rsidRPr="00B6620A">
        <w:rPr>
          <w:rFonts w:ascii="Times New Roman" w:hAnsi="Times New Roman" w:cs="Times New Roman"/>
          <w:sz w:val="24"/>
          <w:szCs w:val="24"/>
        </w:rPr>
        <w:t xml:space="preserve">  </w:t>
      </w:r>
      <w:r w:rsidR="0064781A">
        <w:rPr>
          <w:rFonts w:ascii="Times New Roman" w:hAnsi="Times New Roman" w:cs="Times New Roman"/>
          <w:sz w:val="24"/>
          <w:szCs w:val="24"/>
        </w:rPr>
        <w:t xml:space="preserve">There is a sense of urgency on the part of </w:t>
      </w:r>
      <w:r w:rsidR="009E195E">
        <w:rPr>
          <w:rFonts w:ascii="Times New Roman" w:hAnsi="Times New Roman" w:cs="Times New Roman"/>
          <w:sz w:val="24"/>
          <w:szCs w:val="24"/>
        </w:rPr>
        <w:t xml:space="preserve">Australian </w:t>
      </w:r>
      <w:r w:rsidR="0064781A">
        <w:rPr>
          <w:rFonts w:ascii="Times New Roman" w:hAnsi="Times New Roman" w:cs="Times New Roman"/>
          <w:sz w:val="24"/>
          <w:szCs w:val="24"/>
        </w:rPr>
        <w:t xml:space="preserve">universities as how best to adapt.  </w:t>
      </w:r>
      <w:r w:rsidR="00B6225C">
        <w:rPr>
          <w:rFonts w:ascii="Times New Roman" w:hAnsi="Times New Roman" w:cs="Times New Roman"/>
          <w:sz w:val="24"/>
          <w:szCs w:val="24"/>
        </w:rPr>
        <w:t xml:space="preserve">Deakin University in Geelong, Victoria, is the first to announce a </w:t>
      </w:r>
      <w:r w:rsidR="00B6225C">
        <w:rPr>
          <w:rFonts w:ascii="Times New Roman" w:hAnsi="Times New Roman" w:cs="Times New Roman"/>
          <w:sz w:val="24"/>
          <w:szCs w:val="24"/>
        </w:rPr>
        <w:lastRenderedPageBreak/>
        <w:t>new strategy by which MOOCS would be embedded in curriculum. Their Vice-Chancellor, Jane den Hollander, is reported as saying:</w:t>
      </w:r>
      <w:r w:rsidR="00B6225C">
        <w:rPr>
          <w:rStyle w:val="FootnoteReference"/>
          <w:sz w:val="24"/>
          <w:szCs w:val="24"/>
        </w:rPr>
        <w:footnoteReference w:id="7"/>
      </w:r>
    </w:p>
    <w:p w:rsidR="00B6225C" w:rsidRPr="00B6225C" w:rsidRDefault="00B6225C" w:rsidP="0076484C">
      <w:pPr>
        <w:spacing w:line="240" w:lineRule="auto"/>
        <w:ind w:left="851" w:right="2279"/>
        <w:rPr>
          <w:rFonts w:ascii="Times New Roman" w:hAnsi="Times New Roman" w:cs="Times New Roman"/>
          <w:sz w:val="20"/>
          <w:szCs w:val="20"/>
        </w:rPr>
      </w:pPr>
      <w:r w:rsidRPr="00B6225C">
        <w:rPr>
          <w:rFonts w:ascii="Times New Roman" w:hAnsi="Times New Roman" w:cs="Times New Roman"/>
          <w:sz w:val="20"/>
          <w:szCs w:val="20"/>
        </w:rPr>
        <w:t>Traditional lectures would go by the wayside with free content being cherry-picked online from the world’s best universities.  That would, in theory, free up academics to focus on assessment tasks and more personalised teaching, including face-to-face, video and online.</w:t>
      </w:r>
    </w:p>
    <w:p w:rsidR="002424DD" w:rsidRDefault="009E195E" w:rsidP="002E281B">
      <w:pPr>
        <w:spacing w:line="360" w:lineRule="auto"/>
        <w:rPr>
          <w:rFonts w:ascii="Times New Roman" w:hAnsi="Times New Roman" w:cs="Times New Roman"/>
          <w:sz w:val="24"/>
          <w:szCs w:val="24"/>
        </w:rPr>
      </w:pPr>
      <w:r>
        <w:rPr>
          <w:rFonts w:ascii="Times New Roman" w:hAnsi="Times New Roman" w:cs="Times New Roman"/>
          <w:sz w:val="24"/>
          <w:szCs w:val="24"/>
        </w:rPr>
        <w:t>There are many</w:t>
      </w:r>
      <w:r w:rsidR="006150C8">
        <w:rPr>
          <w:rFonts w:ascii="Times New Roman" w:hAnsi="Times New Roman" w:cs="Times New Roman"/>
          <w:sz w:val="24"/>
          <w:szCs w:val="24"/>
        </w:rPr>
        <w:t xml:space="preserve"> </w:t>
      </w:r>
      <w:r>
        <w:rPr>
          <w:rFonts w:ascii="Times New Roman" w:hAnsi="Times New Roman" w:cs="Times New Roman"/>
          <w:sz w:val="24"/>
          <w:szCs w:val="24"/>
        </w:rPr>
        <w:t xml:space="preserve">apparent </w:t>
      </w:r>
      <w:r w:rsidR="006150C8">
        <w:rPr>
          <w:rFonts w:ascii="Times New Roman" w:hAnsi="Times New Roman" w:cs="Times New Roman"/>
          <w:sz w:val="24"/>
          <w:szCs w:val="24"/>
        </w:rPr>
        <w:t>inconsistencies</w:t>
      </w:r>
      <w:r>
        <w:rPr>
          <w:rFonts w:ascii="Times New Roman" w:hAnsi="Times New Roman" w:cs="Times New Roman"/>
          <w:sz w:val="24"/>
          <w:szCs w:val="24"/>
        </w:rPr>
        <w:t xml:space="preserve"> in higher education policy</w:t>
      </w:r>
      <w:r w:rsidR="006150C8">
        <w:rPr>
          <w:rFonts w:ascii="Times New Roman" w:hAnsi="Times New Roman" w:cs="Times New Roman"/>
          <w:sz w:val="24"/>
          <w:szCs w:val="24"/>
        </w:rPr>
        <w:t xml:space="preserve">.  While </w:t>
      </w:r>
      <w:r>
        <w:rPr>
          <w:rFonts w:ascii="Times New Roman" w:hAnsi="Times New Roman" w:cs="Times New Roman"/>
          <w:sz w:val="24"/>
          <w:szCs w:val="24"/>
        </w:rPr>
        <w:t xml:space="preserve">many of </w:t>
      </w:r>
      <w:r w:rsidR="006150C8">
        <w:rPr>
          <w:rFonts w:ascii="Times New Roman" w:hAnsi="Times New Roman" w:cs="Times New Roman"/>
          <w:sz w:val="24"/>
          <w:szCs w:val="24"/>
        </w:rPr>
        <w:t>t</w:t>
      </w:r>
      <w:r w:rsidR="0064781A">
        <w:rPr>
          <w:rFonts w:ascii="Times New Roman" w:hAnsi="Times New Roman" w:cs="Times New Roman"/>
          <w:sz w:val="24"/>
          <w:szCs w:val="24"/>
        </w:rPr>
        <w:t xml:space="preserve">he changes </w:t>
      </w:r>
      <w:r>
        <w:rPr>
          <w:rFonts w:ascii="Times New Roman" w:hAnsi="Times New Roman" w:cs="Times New Roman"/>
          <w:sz w:val="24"/>
          <w:szCs w:val="24"/>
        </w:rPr>
        <w:t xml:space="preserve">driving the reforms </w:t>
      </w:r>
      <w:r w:rsidR="0064781A">
        <w:rPr>
          <w:rFonts w:ascii="Times New Roman" w:hAnsi="Times New Roman" w:cs="Times New Roman"/>
          <w:sz w:val="24"/>
          <w:szCs w:val="24"/>
        </w:rPr>
        <w:t xml:space="preserve">are </w:t>
      </w:r>
      <w:r w:rsidR="006150C8">
        <w:rPr>
          <w:rFonts w:ascii="Times New Roman" w:hAnsi="Times New Roman" w:cs="Times New Roman"/>
          <w:sz w:val="24"/>
          <w:szCs w:val="24"/>
        </w:rPr>
        <w:t xml:space="preserve">a product of, and integral to, </w:t>
      </w:r>
      <w:r w:rsidR="0064781A">
        <w:rPr>
          <w:rFonts w:ascii="Times New Roman" w:hAnsi="Times New Roman" w:cs="Times New Roman"/>
          <w:sz w:val="24"/>
          <w:szCs w:val="24"/>
        </w:rPr>
        <w:t>the rapidly moving environmen</w:t>
      </w:r>
      <w:r w:rsidR="00CC21DB">
        <w:rPr>
          <w:rFonts w:ascii="Times New Roman" w:hAnsi="Times New Roman" w:cs="Times New Roman"/>
          <w:sz w:val="24"/>
          <w:szCs w:val="24"/>
        </w:rPr>
        <w:t>t in which univer</w:t>
      </w:r>
      <w:r w:rsidR="002424DD">
        <w:rPr>
          <w:rFonts w:ascii="Times New Roman" w:hAnsi="Times New Roman" w:cs="Times New Roman"/>
          <w:sz w:val="24"/>
          <w:szCs w:val="24"/>
        </w:rPr>
        <w:t>sities operate, t</w:t>
      </w:r>
      <w:r w:rsidR="0064781A">
        <w:rPr>
          <w:rFonts w:ascii="Times New Roman" w:hAnsi="Times New Roman" w:cs="Times New Roman"/>
          <w:sz w:val="24"/>
          <w:szCs w:val="24"/>
        </w:rPr>
        <w:t xml:space="preserve">hey </w:t>
      </w:r>
      <w:r w:rsidR="006150C8">
        <w:rPr>
          <w:rFonts w:ascii="Times New Roman" w:hAnsi="Times New Roman" w:cs="Times New Roman"/>
          <w:sz w:val="24"/>
          <w:szCs w:val="24"/>
        </w:rPr>
        <w:t xml:space="preserve">nevertheless </w:t>
      </w:r>
      <w:r w:rsidR="0064781A">
        <w:rPr>
          <w:rFonts w:ascii="Times New Roman" w:hAnsi="Times New Roman" w:cs="Times New Roman"/>
          <w:sz w:val="24"/>
          <w:szCs w:val="24"/>
        </w:rPr>
        <w:t>put e</w:t>
      </w:r>
      <w:r w:rsidR="007E76A2" w:rsidRPr="00B6620A">
        <w:rPr>
          <w:rFonts w:ascii="Times New Roman" w:hAnsi="Times New Roman" w:cs="Times New Roman"/>
          <w:sz w:val="24"/>
          <w:szCs w:val="24"/>
        </w:rPr>
        <w:t xml:space="preserve">ver greater pressure </w:t>
      </w:r>
      <w:r w:rsidR="00CC21DB">
        <w:rPr>
          <w:rFonts w:ascii="Times New Roman" w:hAnsi="Times New Roman" w:cs="Times New Roman"/>
          <w:sz w:val="24"/>
          <w:szCs w:val="24"/>
        </w:rPr>
        <w:t xml:space="preserve">on </w:t>
      </w:r>
      <w:r w:rsidR="0064781A">
        <w:rPr>
          <w:rFonts w:ascii="Times New Roman" w:hAnsi="Times New Roman" w:cs="Times New Roman"/>
          <w:sz w:val="24"/>
          <w:szCs w:val="24"/>
        </w:rPr>
        <w:t>the system</w:t>
      </w:r>
      <w:r w:rsidR="00CC21DB">
        <w:rPr>
          <w:rFonts w:ascii="Times New Roman" w:hAnsi="Times New Roman" w:cs="Times New Roman"/>
          <w:sz w:val="24"/>
          <w:szCs w:val="24"/>
        </w:rPr>
        <w:t>,</w:t>
      </w:r>
      <w:r w:rsidR="0064781A">
        <w:rPr>
          <w:rFonts w:ascii="Times New Roman" w:hAnsi="Times New Roman" w:cs="Times New Roman"/>
          <w:sz w:val="24"/>
          <w:szCs w:val="24"/>
        </w:rPr>
        <w:t xml:space="preserve"> and </w:t>
      </w:r>
      <w:r w:rsidR="007E76A2" w:rsidRPr="00B6620A">
        <w:rPr>
          <w:rFonts w:ascii="Times New Roman" w:hAnsi="Times New Roman" w:cs="Times New Roman"/>
          <w:sz w:val="24"/>
          <w:szCs w:val="24"/>
        </w:rPr>
        <w:t xml:space="preserve">on those </w:t>
      </w:r>
      <w:r w:rsidR="00873456" w:rsidRPr="00B6620A">
        <w:rPr>
          <w:rFonts w:ascii="Times New Roman" w:hAnsi="Times New Roman" w:cs="Times New Roman"/>
          <w:sz w:val="24"/>
          <w:szCs w:val="24"/>
        </w:rPr>
        <w:t>who govern, manage and deliver</w:t>
      </w:r>
      <w:r w:rsidR="00E47E47" w:rsidRPr="00B6620A">
        <w:rPr>
          <w:rFonts w:ascii="Times New Roman" w:hAnsi="Times New Roman" w:cs="Times New Roman"/>
          <w:sz w:val="24"/>
          <w:szCs w:val="24"/>
        </w:rPr>
        <w:t xml:space="preserve"> higher </w:t>
      </w:r>
      <w:r w:rsidR="007E76A2" w:rsidRPr="00B6620A">
        <w:rPr>
          <w:rFonts w:ascii="Times New Roman" w:hAnsi="Times New Roman" w:cs="Times New Roman"/>
          <w:sz w:val="24"/>
          <w:szCs w:val="24"/>
        </w:rPr>
        <w:t>education</w:t>
      </w:r>
      <w:r w:rsidR="002424DD">
        <w:rPr>
          <w:rFonts w:ascii="Times New Roman" w:hAnsi="Times New Roman" w:cs="Times New Roman"/>
          <w:sz w:val="24"/>
          <w:szCs w:val="24"/>
        </w:rPr>
        <w:t>.</w:t>
      </w:r>
      <w:r w:rsidR="00CC21DB">
        <w:rPr>
          <w:rFonts w:ascii="Times New Roman" w:hAnsi="Times New Roman" w:cs="Times New Roman"/>
          <w:sz w:val="24"/>
          <w:szCs w:val="24"/>
        </w:rPr>
        <w:t xml:space="preserve"> </w:t>
      </w:r>
    </w:p>
    <w:p w:rsidR="009E195E" w:rsidRDefault="007A152E" w:rsidP="002E281B">
      <w:pPr>
        <w:spacing w:line="360" w:lineRule="auto"/>
        <w:rPr>
          <w:rFonts w:ascii="Times New Roman" w:hAnsi="Times New Roman" w:cs="Times New Roman"/>
          <w:sz w:val="24"/>
          <w:szCs w:val="24"/>
        </w:rPr>
      </w:pPr>
      <w:r w:rsidRPr="00B6620A">
        <w:rPr>
          <w:rFonts w:ascii="Times New Roman" w:hAnsi="Times New Roman" w:cs="Times New Roman"/>
          <w:sz w:val="24"/>
          <w:szCs w:val="24"/>
        </w:rPr>
        <w:t>This paper outline</w:t>
      </w:r>
      <w:r w:rsidR="00873456" w:rsidRPr="00B6620A">
        <w:rPr>
          <w:rFonts w:ascii="Times New Roman" w:hAnsi="Times New Roman" w:cs="Times New Roman"/>
          <w:sz w:val="24"/>
          <w:szCs w:val="24"/>
        </w:rPr>
        <w:t>s the key features of law and policy</w:t>
      </w:r>
      <w:r w:rsidRPr="00B6620A">
        <w:rPr>
          <w:rFonts w:ascii="Times New Roman" w:hAnsi="Times New Roman" w:cs="Times New Roman"/>
          <w:sz w:val="24"/>
          <w:szCs w:val="24"/>
        </w:rPr>
        <w:t xml:space="preserve"> of </w:t>
      </w:r>
      <w:r w:rsidR="006150C8">
        <w:rPr>
          <w:rFonts w:ascii="Times New Roman" w:hAnsi="Times New Roman" w:cs="Times New Roman"/>
          <w:sz w:val="24"/>
          <w:szCs w:val="24"/>
        </w:rPr>
        <w:t xml:space="preserve">the </w:t>
      </w:r>
      <w:r w:rsidRPr="00B6620A">
        <w:rPr>
          <w:rFonts w:ascii="Times New Roman" w:hAnsi="Times New Roman" w:cs="Times New Roman"/>
          <w:sz w:val="24"/>
          <w:szCs w:val="24"/>
        </w:rPr>
        <w:t>high</w:t>
      </w:r>
      <w:r w:rsidR="002674C6">
        <w:rPr>
          <w:rFonts w:ascii="Times New Roman" w:hAnsi="Times New Roman" w:cs="Times New Roman"/>
          <w:sz w:val="24"/>
          <w:szCs w:val="24"/>
        </w:rPr>
        <w:t>er education</w:t>
      </w:r>
      <w:r w:rsidR="002424DD">
        <w:rPr>
          <w:rFonts w:ascii="Times New Roman" w:hAnsi="Times New Roman" w:cs="Times New Roman"/>
          <w:sz w:val="24"/>
          <w:szCs w:val="24"/>
        </w:rPr>
        <w:t xml:space="preserve"> environment in Australia.  It </w:t>
      </w:r>
      <w:r w:rsidR="006150C8">
        <w:rPr>
          <w:rFonts w:ascii="Times New Roman" w:hAnsi="Times New Roman" w:cs="Times New Roman"/>
          <w:sz w:val="24"/>
          <w:szCs w:val="24"/>
        </w:rPr>
        <w:t xml:space="preserve">first paints </w:t>
      </w:r>
      <w:r w:rsidR="0076484C">
        <w:rPr>
          <w:rFonts w:ascii="Times New Roman" w:hAnsi="Times New Roman" w:cs="Times New Roman"/>
          <w:sz w:val="24"/>
          <w:szCs w:val="24"/>
        </w:rPr>
        <w:t xml:space="preserve">a picture of </w:t>
      </w:r>
      <w:r w:rsidR="006150C8">
        <w:rPr>
          <w:rFonts w:ascii="Times New Roman" w:hAnsi="Times New Roman" w:cs="Times New Roman"/>
          <w:sz w:val="24"/>
          <w:szCs w:val="24"/>
        </w:rPr>
        <w:t xml:space="preserve">the </w:t>
      </w:r>
      <w:r w:rsidR="002674C6">
        <w:rPr>
          <w:rFonts w:ascii="Times New Roman" w:hAnsi="Times New Roman" w:cs="Times New Roman"/>
          <w:sz w:val="24"/>
          <w:szCs w:val="24"/>
        </w:rPr>
        <w:t>contextual and legal</w:t>
      </w:r>
      <w:r w:rsidR="0064781A">
        <w:rPr>
          <w:rFonts w:ascii="Times New Roman" w:hAnsi="Times New Roman" w:cs="Times New Roman"/>
          <w:sz w:val="24"/>
          <w:szCs w:val="24"/>
        </w:rPr>
        <w:t xml:space="preserve"> background</w:t>
      </w:r>
      <w:r w:rsidR="006150C8">
        <w:rPr>
          <w:rFonts w:ascii="Times New Roman" w:hAnsi="Times New Roman" w:cs="Times New Roman"/>
          <w:sz w:val="24"/>
          <w:szCs w:val="24"/>
        </w:rPr>
        <w:t>.  It then outlines the changes</w:t>
      </w:r>
      <w:r w:rsidR="009E195E">
        <w:rPr>
          <w:rFonts w:ascii="Times New Roman" w:hAnsi="Times New Roman" w:cs="Times New Roman"/>
          <w:sz w:val="24"/>
          <w:szCs w:val="24"/>
        </w:rPr>
        <w:t>,</w:t>
      </w:r>
      <w:r w:rsidR="006150C8">
        <w:rPr>
          <w:rFonts w:ascii="Times New Roman" w:hAnsi="Times New Roman" w:cs="Times New Roman"/>
          <w:sz w:val="24"/>
          <w:szCs w:val="24"/>
        </w:rPr>
        <w:t xml:space="preserve"> and </w:t>
      </w:r>
      <w:r w:rsidRPr="00B6620A">
        <w:rPr>
          <w:rFonts w:ascii="Times New Roman" w:hAnsi="Times New Roman" w:cs="Times New Roman"/>
          <w:sz w:val="24"/>
          <w:szCs w:val="24"/>
        </w:rPr>
        <w:t>considers the</w:t>
      </w:r>
      <w:r w:rsidR="00873456" w:rsidRPr="00B6620A">
        <w:rPr>
          <w:rFonts w:ascii="Times New Roman" w:hAnsi="Times New Roman" w:cs="Times New Roman"/>
          <w:sz w:val="24"/>
          <w:szCs w:val="24"/>
        </w:rPr>
        <w:t xml:space="preserve"> </w:t>
      </w:r>
      <w:r w:rsidR="009E195E">
        <w:rPr>
          <w:rFonts w:ascii="Times New Roman" w:hAnsi="Times New Roman" w:cs="Times New Roman"/>
          <w:sz w:val="24"/>
          <w:szCs w:val="24"/>
        </w:rPr>
        <w:t xml:space="preserve">current debates in </w:t>
      </w:r>
      <w:r w:rsidR="002674C6">
        <w:rPr>
          <w:rFonts w:ascii="Times New Roman" w:hAnsi="Times New Roman" w:cs="Times New Roman"/>
          <w:sz w:val="24"/>
          <w:szCs w:val="24"/>
        </w:rPr>
        <w:t xml:space="preserve">the current </w:t>
      </w:r>
      <w:r w:rsidR="0064781A">
        <w:rPr>
          <w:rFonts w:ascii="Times New Roman" w:hAnsi="Times New Roman" w:cs="Times New Roman"/>
          <w:sz w:val="24"/>
          <w:szCs w:val="24"/>
        </w:rPr>
        <w:t>environment</w:t>
      </w:r>
      <w:r w:rsidR="00873456" w:rsidRPr="00B6620A">
        <w:rPr>
          <w:rFonts w:ascii="Times New Roman" w:hAnsi="Times New Roman" w:cs="Times New Roman"/>
          <w:sz w:val="24"/>
          <w:szCs w:val="24"/>
        </w:rPr>
        <w:t>.</w:t>
      </w:r>
    </w:p>
    <w:p w:rsidR="00873456" w:rsidRPr="00B6620A" w:rsidRDefault="009F1A29" w:rsidP="002E281B">
      <w:pPr>
        <w:spacing w:line="360" w:lineRule="auto"/>
        <w:rPr>
          <w:rFonts w:ascii="Times New Roman" w:hAnsi="Times New Roman" w:cs="Times New Roman"/>
          <w:sz w:val="24"/>
          <w:szCs w:val="24"/>
        </w:rPr>
      </w:pPr>
      <w:r>
        <w:rPr>
          <w:rFonts w:ascii="Times New Roman" w:hAnsi="Times New Roman" w:cs="Times New Roman"/>
          <w:sz w:val="24"/>
          <w:szCs w:val="24"/>
        </w:rPr>
        <w:t>In relation to the UK and the US: d</w:t>
      </w:r>
      <w:r w:rsidR="009E195E">
        <w:rPr>
          <w:rFonts w:ascii="Times New Roman" w:hAnsi="Times New Roman" w:cs="Times New Roman"/>
          <w:sz w:val="24"/>
          <w:szCs w:val="24"/>
        </w:rPr>
        <w:t>ifferent country, different hemisphere, same challenges...</w:t>
      </w:r>
      <w:r w:rsidR="00873456" w:rsidRPr="00B6620A">
        <w:rPr>
          <w:rFonts w:ascii="Times New Roman" w:hAnsi="Times New Roman" w:cs="Times New Roman"/>
          <w:sz w:val="24"/>
          <w:szCs w:val="24"/>
        </w:rPr>
        <w:t xml:space="preserve">  </w:t>
      </w:r>
    </w:p>
    <w:p w:rsidR="007A152E" w:rsidRPr="00B6620A" w:rsidRDefault="00F74EF6" w:rsidP="002E281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The </w:t>
      </w:r>
      <w:r w:rsidR="00055D7E" w:rsidRPr="00B6620A">
        <w:rPr>
          <w:rFonts w:ascii="Times New Roman" w:hAnsi="Times New Roman" w:cs="Times New Roman"/>
          <w:b/>
          <w:sz w:val="24"/>
          <w:szCs w:val="24"/>
        </w:rPr>
        <w:t>Background</w:t>
      </w:r>
    </w:p>
    <w:p w:rsidR="00E4393B" w:rsidRDefault="00055D7E" w:rsidP="0064781A">
      <w:pPr>
        <w:spacing w:before="120" w:line="360" w:lineRule="auto"/>
        <w:rPr>
          <w:rFonts w:ascii="Times New Roman" w:hAnsi="Times New Roman" w:cs="Times New Roman"/>
          <w:sz w:val="24"/>
          <w:szCs w:val="24"/>
        </w:rPr>
      </w:pPr>
      <w:r w:rsidRPr="00B6620A">
        <w:rPr>
          <w:rFonts w:ascii="Times New Roman" w:hAnsi="Times New Roman" w:cs="Times New Roman"/>
          <w:sz w:val="24"/>
          <w:szCs w:val="24"/>
        </w:rPr>
        <w:t>Australia is a federation of states and territories, pursuant to the Commonwealth of Australia Constitution</w:t>
      </w:r>
      <w:r w:rsidR="00D95E2F" w:rsidRPr="00B6620A">
        <w:rPr>
          <w:rFonts w:ascii="Times New Roman" w:hAnsi="Times New Roman" w:cs="Times New Roman"/>
          <w:sz w:val="24"/>
          <w:szCs w:val="24"/>
        </w:rPr>
        <w:t xml:space="preserve"> Act.  In addition to the Commonwealth or Federal Parliament, there are six states: New South Wales, Victoria, South Australia, Western Australia, Queensland and Tasmania; and two territories:  Australian Capital T</w:t>
      </w:r>
      <w:r w:rsidR="006150C8">
        <w:rPr>
          <w:rFonts w:ascii="Times New Roman" w:hAnsi="Times New Roman" w:cs="Times New Roman"/>
          <w:sz w:val="24"/>
          <w:szCs w:val="24"/>
        </w:rPr>
        <w:t>erritory and Northern Territory. A</w:t>
      </w:r>
      <w:r w:rsidR="00D95E2F" w:rsidRPr="00B6620A">
        <w:rPr>
          <w:rFonts w:ascii="Times New Roman" w:hAnsi="Times New Roman" w:cs="Times New Roman"/>
          <w:sz w:val="24"/>
          <w:szCs w:val="24"/>
        </w:rPr>
        <w:t>ll</w:t>
      </w:r>
      <w:r w:rsidR="009E195E">
        <w:rPr>
          <w:rFonts w:ascii="Times New Roman" w:hAnsi="Times New Roman" w:cs="Times New Roman"/>
          <w:sz w:val="24"/>
          <w:szCs w:val="24"/>
        </w:rPr>
        <w:t xml:space="preserve"> have executives and judiciaries, and,</w:t>
      </w:r>
      <w:r w:rsidR="009E195E" w:rsidRPr="00B6620A">
        <w:rPr>
          <w:rFonts w:ascii="Times New Roman" w:hAnsi="Times New Roman" w:cs="Times New Roman"/>
          <w:sz w:val="24"/>
          <w:szCs w:val="24"/>
        </w:rPr>
        <w:t xml:space="preserve"> </w:t>
      </w:r>
      <w:r w:rsidR="006150C8">
        <w:rPr>
          <w:rFonts w:ascii="Times New Roman" w:hAnsi="Times New Roman" w:cs="Times New Roman"/>
          <w:sz w:val="24"/>
          <w:szCs w:val="24"/>
        </w:rPr>
        <w:t>bar one (Queensland)</w:t>
      </w:r>
      <w:r w:rsidR="009E195E">
        <w:rPr>
          <w:rFonts w:ascii="Times New Roman" w:hAnsi="Times New Roman" w:cs="Times New Roman"/>
          <w:sz w:val="24"/>
          <w:szCs w:val="24"/>
        </w:rPr>
        <w:t>,</w:t>
      </w:r>
      <w:r w:rsidR="00D95E2F" w:rsidRPr="00B6620A">
        <w:rPr>
          <w:rFonts w:ascii="Times New Roman" w:hAnsi="Times New Roman" w:cs="Times New Roman"/>
          <w:sz w:val="24"/>
          <w:szCs w:val="24"/>
        </w:rPr>
        <w:t xml:space="preserve"> </w:t>
      </w:r>
      <w:r w:rsidR="006150C8">
        <w:rPr>
          <w:rFonts w:ascii="Times New Roman" w:hAnsi="Times New Roman" w:cs="Times New Roman"/>
          <w:sz w:val="24"/>
          <w:szCs w:val="24"/>
        </w:rPr>
        <w:t xml:space="preserve">bicameral </w:t>
      </w:r>
      <w:r w:rsidR="00D95E2F" w:rsidRPr="00B6620A">
        <w:rPr>
          <w:rFonts w:ascii="Times New Roman" w:hAnsi="Times New Roman" w:cs="Times New Roman"/>
          <w:sz w:val="24"/>
          <w:szCs w:val="24"/>
        </w:rPr>
        <w:t>legislatures</w:t>
      </w:r>
      <w:r w:rsidR="008957CC">
        <w:rPr>
          <w:rFonts w:ascii="Times New Roman" w:hAnsi="Times New Roman" w:cs="Times New Roman"/>
          <w:sz w:val="24"/>
          <w:szCs w:val="24"/>
        </w:rPr>
        <w:t>.</w:t>
      </w:r>
      <w:r w:rsidR="006150C8">
        <w:rPr>
          <w:rFonts w:ascii="Times New Roman" w:hAnsi="Times New Roman" w:cs="Times New Roman"/>
          <w:sz w:val="24"/>
          <w:szCs w:val="24"/>
        </w:rPr>
        <w:t xml:space="preserve"> </w:t>
      </w:r>
    </w:p>
    <w:p w:rsidR="006150C8" w:rsidRDefault="006150C8" w:rsidP="006150C8">
      <w:pPr>
        <w:spacing w:before="120" w:line="360" w:lineRule="auto"/>
        <w:rPr>
          <w:rFonts w:ascii="Times New Roman" w:hAnsi="Times New Roman" w:cs="Times New Roman"/>
          <w:sz w:val="24"/>
          <w:szCs w:val="24"/>
        </w:rPr>
      </w:pPr>
      <w:r w:rsidRPr="00B6620A">
        <w:rPr>
          <w:rFonts w:ascii="Times New Roman" w:hAnsi="Times New Roman" w:cs="Times New Roman"/>
          <w:sz w:val="24"/>
          <w:szCs w:val="24"/>
        </w:rPr>
        <w:t>The ter</w:t>
      </w:r>
      <w:r w:rsidR="008957CC">
        <w:rPr>
          <w:rFonts w:ascii="Times New Roman" w:hAnsi="Times New Roman" w:cs="Times New Roman"/>
          <w:sz w:val="24"/>
          <w:szCs w:val="24"/>
        </w:rPr>
        <w:t xml:space="preserve">tiary sector providing </w:t>
      </w:r>
      <w:r w:rsidRPr="00B6620A">
        <w:rPr>
          <w:rFonts w:ascii="Times New Roman" w:hAnsi="Times New Roman" w:cs="Times New Roman"/>
          <w:sz w:val="24"/>
          <w:szCs w:val="24"/>
        </w:rPr>
        <w:t>post-compulsory education, includes technical and further education ('TAFE'), vocational education and training ('VET') and higher education.</w:t>
      </w:r>
      <w:r>
        <w:rPr>
          <w:rFonts w:ascii="Times New Roman" w:hAnsi="Times New Roman" w:cs="Times New Roman"/>
          <w:sz w:val="24"/>
          <w:szCs w:val="24"/>
        </w:rPr>
        <w:t xml:space="preserve">  </w:t>
      </w:r>
      <w:r w:rsidRPr="002424DD">
        <w:rPr>
          <w:rFonts w:ascii="Times New Roman" w:hAnsi="Times New Roman" w:cs="Times New Roman"/>
          <w:sz w:val="24"/>
          <w:szCs w:val="24"/>
        </w:rPr>
        <w:t>VET refers generally to vocational education and training related to the development of skills and competencies in a trade, technical or other skilled occupation.  TAFE refers to pre-vocational education and education in the theory and practice of trades and vocations in industry and commerce provided by publicly</w:t>
      </w:r>
      <w:r w:rsidR="008957CC">
        <w:rPr>
          <w:rFonts w:ascii="Times New Roman" w:hAnsi="Times New Roman" w:cs="Times New Roman"/>
          <w:sz w:val="24"/>
          <w:szCs w:val="24"/>
        </w:rPr>
        <w:t xml:space="preserve"> funded providers.  TAFE institutes and private providers </w:t>
      </w:r>
      <w:r w:rsidRPr="002424DD">
        <w:rPr>
          <w:rFonts w:ascii="Times New Roman" w:hAnsi="Times New Roman" w:cs="Times New Roman"/>
          <w:sz w:val="24"/>
          <w:szCs w:val="24"/>
        </w:rPr>
        <w:t xml:space="preserve">may operate on either a for-profit or not-for-profit basis.   Commonwealth legislation relating to TAFE and vocational education is concerned with </w:t>
      </w:r>
      <w:r w:rsidRPr="002424DD">
        <w:rPr>
          <w:rFonts w:ascii="Times New Roman" w:hAnsi="Times New Roman" w:cs="Times New Roman"/>
          <w:sz w:val="24"/>
          <w:szCs w:val="24"/>
        </w:rPr>
        <w:lastRenderedPageBreak/>
        <w:t>funding that education.</w:t>
      </w:r>
      <w:r w:rsidRPr="00B6620A">
        <w:rPr>
          <w:rStyle w:val="FootnoteReference"/>
          <w:sz w:val="24"/>
          <w:szCs w:val="24"/>
        </w:rPr>
        <w:footnoteReference w:id="8"/>
      </w:r>
      <w:r w:rsidRPr="00B6620A">
        <w:rPr>
          <w:rFonts w:ascii="Times New Roman" w:hAnsi="Times New Roman" w:cs="Times New Roman"/>
          <w:sz w:val="24"/>
          <w:szCs w:val="24"/>
        </w:rPr>
        <w:t xml:space="preserve"> </w:t>
      </w:r>
      <w:r w:rsidRPr="002424DD">
        <w:rPr>
          <w:rFonts w:ascii="Times New Roman" w:hAnsi="Times New Roman" w:cs="Times New Roman"/>
          <w:sz w:val="24"/>
          <w:szCs w:val="24"/>
        </w:rPr>
        <w:t xml:space="preserve">  The Commonwealth promotes a national vocational education and training system and provides advice about and allocates funding for TAFE and vocational education.</w:t>
      </w:r>
      <w:r w:rsidRPr="00115C9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6620A">
        <w:rPr>
          <w:rFonts w:ascii="Times New Roman" w:hAnsi="Times New Roman" w:cs="Times New Roman"/>
          <w:sz w:val="24"/>
          <w:szCs w:val="24"/>
        </w:rPr>
        <w:t xml:space="preserve">  </w:t>
      </w:r>
    </w:p>
    <w:p w:rsidR="00E4393B" w:rsidRDefault="006150C8" w:rsidP="00401DA0">
      <w:pPr>
        <w:spacing w:before="120" w:line="360" w:lineRule="auto"/>
        <w:rPr>
          <w:rFonts w:ascii="Times New Roman" w:hAnsi="Times New Roman" w:cs="Times New Roman"/>
          <w:sz w:val="24"/>
          <w:szCs w:val="24"/>
        </w:rPr>
      </w:pPr>
      <w:r w:rsidRPr="00B6620A">
        <w:rPr>
          <w:rFonts w:ascii="Times New Roman" w:hAnsi="Times New Roman" w:cs="Times New Roman"/>
          <w:sz w:val="24"/>
          <w:szCs w:val="24"/>
        </w:rPr>
        <w:t>Higher education refers to education provided by universities and other tertiary institutions defined as 'higher education providers'.</w:t>
      </w:r>
      <w:r w:rsidRPr="00B6620A">
        <w:rPr>
          <w:rFonts w:ascii="Times New Roman" w:hAnsi="Times New Roman" w:cs="Times New Roman"/>
          <w:sz w:val="24"/>
          <w:szCs w:val="24"/>
          <w:vertAlign w:val="superscript"/>
        </w:rPr>
        <w:t xml:space="preserve"> </w:t>
      </w:r>
      <w:r w:rsidRPr="00B6620A">
        <w:rPr>
          <w:rFonts w:ascii="Times New Roman" w:hAnsi="Times New Roman" w:cs="Times New Roman"/>
          <w:sz w:val="24"/>
          <w:szCs w:val="24"/>
        </w:rPr>
        <w:t xml:space="preserve"> </w:t>
      </w:r>
      <w:r w:rsidR="009D520F">
        <w:rPr>
          <w:rFonts w:ascii="Times New Roman" w:hAnsi="Times New Roman" w:cs="Times New Roman"/>
          <w:sz w:val="24"/>
          <w:szCs w:val="24"/>
        </w:rPr>
        <w:t xml:space="preserve"> </w:t>
      </w:r>
      <w:r w:rsidR="008957CC">
        <w:rPr>
          <w:rFonts w:ascii="Times New Roman" w:hAnsi="Times New Roman" w:cs="Times New Roman"/>
          <w:sz w:val="24"/>
          <w:szCs w:val="24"/>
        </w:rPr>
        <w:t xml:space="preserve">Five universities are ‘dual sector’ and another twenty to twenty-five </w:t>
      </w:r>
      <w:r w:rsidR="002732F9">
        <w:rPr>
          <w:rFonts w:ascii="Times New Roman" w:hAnsi="Times New Roman" w:cs="Times New Roman"/>
          <w:sz w:val="24"/>
          <w:szCs w:val="24"/>
        </w:rPr>
        <w:t xml:space="preserve">have some activities within the VET sector.  </w:t>
      </w:r>
      <w:r w:rsidR="009D520F">
        <w:rPr>
          <w:rFonts w:ascii="Times New Roman" w:hAnsi="Times New Roman" w:cs="Times New Roman"/>
          <w:sz w:val="24"/>
          <w:szCs w:val="24"/>
        </w:rPr>
        <w:t xml:space="preserve">All are </w:t>
      </w:r>
      <w:r w:rsidR="00E4393B">
        <w:rPr>
          <w:rFonts w:ascii="Times New Roman" w:hAnsi="Times New Roman" w:cs="Times New Roman"/>
          <w:sz w:val="24"/>
          <w:szCs w:val="24"/>
        </w:rPr>
        <w:t>regulated by a confusion of state and federal control.</w:t>
      </w:r>
      <w:r w:rsidR="00E4393B" w:rsidRPr="00B6620A">
        <w:rPr>
          <w:rFonts w:ascii="Times New Roman" w:hAnsi="Times New Roman" w:cs="Times New Roman"/>
          <w:sz w:val="24"/>
          <w:szCs w:val="24"/>
        </w:rPr>
        <w:t xml:space="preserve"> Constitutionally, responsibility for all sectors of public education lies with the S</w:t>
      </w:r>
      <w:r w:rsidR="00E4393B">
        <w:rPr>
          <w:rFonts w:ascii="Times New Roman" w:hAnsi="Times New Roman" w:cs="Times New Roman"/>
          <w:sz w:val="24"/>
          <w:szCs w:val="24"/>
        </w:rPr>
        <w:t>tate and Territory governments, and each jurisdiction has its own legislation setting out the requirements for operating as a higher education provider.</w:t>
      </w:r>
      <w:r w:rsidR="00587B26">
        <w:rPr>
          <w:rStyle w:val="FootnoteReference"/>
          <w:sz w:val="24"/>
          <w:szCs w:val="24"/>
        </w:rPr>
        <w:footnoteReference w:id="9"/>
      </w:r>
      <w:r w:rsidR="002732F9">
        <w:rPr>
          <w:rFonts w:ascii="Times New Roman" w:hAnsi="Times New Roman" w:cs="Times New Roman"/>
          <w:sz w:val="24"/>
          <w:szCs w:val="24"/>
        </w:rPr>
        <w:t xml:space="preserve">  Traditionally, t</w:t>
      </w:r>
      <w:r w:rsidR="00587B26">
        <w:rPr>
          <w:rFonts w:ascii="Times New Roman" w:hAnsi="Times New Roman" w:cs="Times New Roman"/>
          <w:sz w:val="24"/>
          <w:szCs w:val="24"/>
        </w:rPr>
        <w:t xml:space="preserve">his </w:t>
      </w:r>
      <w:r w:rsidR="002732F9">
        <w:rPr>
          <w:rFonts w:ascii="Times New Roman" w:hAnsi="Times New Roman" w:cs="Times New Roman"/>
          <w:sz w:val="24"/>
          <w:szCs w:val="24"/>
        </w:rPr>
        <w:t>legislation regulated</w:t>
      </w:r>
      <w:r w:rsidR="00587B26" w:rsidRPr="00B6620A">
        <w:rPr>
          <w:rFonts w:ascii="Times New Roman" w:hAnsi="Times New Roman" w:cs="Times New Roman"/>
          <w:sz w:val="24"/>
          <w:szCs w:val="24"/>
        </w:rPr>
        <w:t xml:space="preserve"> universities generally by providing for recognition of </w:t>
      </w:r>
      <w:r w:rsidR="002732F9">
        <w:rPr>
          <w:rFonts w:ascii="Times New Roman" w:hAnsi="Times New Roman" w:cs="Times New Roman"/>
          <w:sz w:val="24"/>
          <w:szCs w:val="24"/>
        </w:rPr>
        <w:t xml:space="preserve">institutions </w:t>
      </w:r>
      <w:r w:rsidR="00587B26" w:rsidRPr="00B6620A">
        <w:rPr>
          <w:rFonts w:ascii="Times New Roman" w:hAnsi="Times New Roman" w:cs="Times New Roman"/>
          <w:sz w:val="24"/>
          <w:szCs w:val="24"/>
        </w:rPr>
        <w:t xml:space="preserve">from Australia and overseas, authorisation of other higher education institutions and accreditation of higher education courses. </w:t>
      </w:r>
      <w:r w:rsidR="00587B26">
        <w:rPr>
          <w:rFonts w:ascii="Times New Roman" w:hAnsi="Times New Roman" w:cs="Times New Roman"/>
          <w:sz w:val="24"/>
          <w:szCs w:val="24"/>
        </w:rPr>
        <w:t xml:space="preserve"> National regulation was provided by </w:t>
      </w:r>
      <w:r w:rsidR="00587B26" w:rsidRPr="00B6620A">
        <w:rPr>
          <w:rFonts w:ascii="Times New Roman" w:hAnsi="Times New Roman" w:cs="Times New Roman"/>
          <w:sz w:val="24"/>
          <w:szCs w:val="24"/>
        </w:rPr>
        <w:t xml:space="preserve">the </w:t>
      </w:r>
      <w:r w:rsidR="00587B26" w:rsidRPr="000E3D65">
        <w:rPr>
          <w:rFonts w:ascii="Times New Roman" w:hAnsi="Times New Roman" w:cs="Times New Roman"/>
          <w:i/>
          <w:sz w:val="24"/>
          <w:szCs w:val="24"/>
        </w:rPr>
        <w:t>National Protocols for Higher Education Approval Processes</w:t>
      </w:r>
      <w:r w:rsidR="00587B26" w:rsidRPr="00B6620A">
        <w:rPr>
          <w:rFonts w:ascii="Times New Roman" w:hAnsi="Times New Roman" w:cs="Times New Roman"/>
          <w:sz w:val="24"/>
          <w:szCs w:val="24"/>
        </w:rPr>
        <w:t xml:space="preserve"> </w:t>
      </w:r>
      <w:r w:rsidR="00587B26">
        <w:rPr>
          <w:rFonts w:ascii="Times New Roman" w:hAnsi="Times New Roman" w:cs="Times New Roman"/>
          <w:i/>
          <w:sz w:val="24"/>
          <w:szCs w:val="24"/>
        </w:rPr>
        <w:t xml:space="preserve">2007 </w:t>
      </w:r>
      <w:r w:rsidR="00587B26" w:rsidRPr="00401DA0">
        <w:rPr>
          <w:rFonts w:ascii="Times New Roman" w:hAnsi="Times New Roman" w:cs="Times New Roman"/>
          <w:sz w:val="24"/>
          <w:szCs w:val="24"/>
        </w:rPr>
        <w:t>(The National Protocols)</w:t>
      </w:r>
      <w:r w:rsidR="002732F9">
        <w:rPr>
          <w:rStyle w:val="FootnoteReference"/>
          <w:sz w:val="24"/>
          <w:szCs w:val="24"/>
        </w:rPr>
        <w:footnoteReference w:id="10"/>
      </w:r>
      <w:r w:rsidR="00587B26">
        <w:rPr>
          <w:rFonts w:ascii="Times New Roman" w:hAnsi="Times New Roman" w:cs="Times New Roman"/>
          <w:sz w:val="24"/>
          <w:szCs w:val="24"/>
        </w:rPr>
        <w:t xml:space="preserve"> </w:t>
      </w:r>
      <w:r w:rsidR="00997679">
        <w:rPr>
          <w:rFonts w:ascii="Times New Roman" w:hAnsi="Times New Roman" w:cs="Times New Roman"/>
          <w:sz w:val="24"/>
          <w:szCs w:val="24"/>
        </w:rPr>
        <w:t>which were</w:t>
      </w:r>
      <w:r w:rsidR="00587B26" w:rsidRPr="00401DA0">
        <w:rPr>
          <w:rFonts w:ascii="Times New Roman" w:hAnsi="Times New Roman" w:cs="Times New Roman"/>
          <w:sz w:val="24"/>
          <w:szCs w:val="24"/>
        </w:rPr>
        <w:t xml:space="preserve"> </w:t>
      </w:r>
      <w:r w:rsidR="00587B26" w:rsidRPr="00B6620A">
        <w:rPr>
          <w:rFonts w:ascii="Times New Roman" w:hAnsi="Times New Roman" w:cs="Times New Roman"/>
          <w:sz w:val="24"/>
          <w:szCs w:val="24"/>
        </w:rPr>
        <w:t>produced by the Ministerial Council on Education, Employment, Training and Youth Affairs</w:t>
      </w:r>
      <w:r w:rsidR="00587B26">
        <w:rPr>
          <w:rFonts w:ascii="Times New Roman" w:hAnsi="Times New Roman" w:cs="Times New Roman"/>
          <w:sz w:val="24"/>
          <w:szCs w:val="24"/>
        </w:rPr>
        <w:t xml:space="preserve"> (MCEETYA)</w:t>
      </w:r>
      <w:r w:rsidR="00587B26">
        <w:rPr>
          <w:rStyle w:val="FootnoteReference"/>
          <w:sz w:val="24"/>
          <w:szCs w:val="24"/>
        </w:rPr>
        <w:footnoteReference w:id="11"/>
      </w:r>
      <w:r w:rsidR="00587B26" w:rsidRPr="00B6620A">
        <w:rPr>
          <w:rFonts w:ascii="Times New Roman" w:hAnsi="Times New Roman" w:cs="Times New Roman"/>
          <w:sz w:val="24"/>
          <w:szCs w:val="24"/>
        </w:rPr>
        <w:t xml:space="preserve"> </w:t>
      </w:r>
      <w:r w:rsidR="00997679">
        <w:rPr>
          <w:rFonts w:ascii="Times New Roman" w:hAnsi="Times New Roman" w:cs="Times New Roman"/>
          <w:sz w:val="24"/>
          <w:szCs w:val="24"/>
        </w:rPr>
        <w:t xml:space="preserve">and incorporated into state and territory legislation. </w:t>
      </w:r>
      <w:r w:rsidR="00587B26">
        <w:rPr>
          <w:rFonts w:ascii="Times New Roman" w:hAnsi="Times New Roman" w:cs="Times New Roman"/>
          <w:sz w:val="24"/>
          <w:szCs w:val="24"/>
        </w:rPr>
        <w:t xml:space="preserve"> </w:t>
      </w:r>
      <w:r w:rsidR="00E4393B" w:rsidRPr="00B6620A">
        <w:rPr>
          <w:rFonts w:ascii="Times New Roman" w:hAnsi="Times New Roman" w:cs="Times New Roman"/>
          <w:sz w:val="24"/>
          <w:szCs w:val="24"/>
        </w:rPr>
        <w:t>University statutes provide for the con</w:t>
      </w:r>
      <w:r>
        <w:rPr>
          <w:rFonts w:ascii="Times New Roman" w:hAnsi="Times New Roman" w:cs="Times New Roman"/>
          <w:sz w:val="24"/>
          <w:szCs w:val="24"/>
        </w:rPr>
        <w:t xml:space="preserve">stitution and governance of </w:t>
      </w:r>
      <w:r w:rsidR="00E4393B" w:rsidRPr="00B6620A">
        <w:rPr>
          <w:rFonts w:ascii="Times New Roman" w:hAnsi="Times New Roman" w:cs="Times New Roman"/>
          <w:sz w:val="24"/>
          <w:szCs w:val="24"/>
        </w:rPr>
        <w:t xml:space="preserve">individual universities. </w:t>
      </w:r>
    </w:p>
    <w:p w:rsidR="00E4393B" w:rsidRPr="00B6620A" w:rsidRDefault="00997679" w:rsidP="00E4393B">
      <w:pPr>
        <w:spacing w:before="240" w:line="360" w:lineRule="auto"/>
        <w:rPr>
          <w:rFonts w:ascii="Times New Roman" w:hAnsi="Times New Roman" w:cs="Times New Roman"/>
          <w:sz w:val="24"/>
          <w:szCs w:val="24"/>
        </w:rPr>
      </w:pPr>
      <w:r>
        <w:rPr>
          <w:rFonts w:ascii="Times New Roman" w:hAnsi="Times New Roman" w:cs="Times New Roman"/>
          <w:sz w:val="24"/>
          <w:szCs w:val="24"/>
        </w:rPr>
        <w:t>So, at least i</w:t>
      </w:r>
      <w:r w:rsidR="006150C8">
        <w:rPr>
          <w:rFonts w:ascii="Times New Roman" w:hAnsi="Times New Roman" w:cs="Times New Roman"/>
          <w:sz w:val="24"/>
          <w:szCs w:val="24"/>
        </w:rPr>
        <w:t xml:space="preserve">n theory, </w:t>
      </w:r>
      <w:r w:rsidR="00E4393B" w:rsidRPr="00B6620A">
        <w:rPr>
          <w:rFonts w:ascii="Times New Roman" w:hAnsi="Times New Roman" w:cs="Times New Roman"/>
          <w:sz w:val="24"/>
          <w:szCs w:val="24"/>
        </w:rPr>
        <w:t xml:space="preserve">the Commonwealth </w:t>
      </w:r>
      <w:r w:rsidR="00401DA0">
        <w:rPr>
          <w:rFonts w:ascii="Times New Roman" w:hAnsi="Times New Roman" w:cs="Times New Roman"/>
          <w:sz w:val="24"/>
          <w:szCs w:val="24"/>
        </w:rPr>
        <w:t xml:space="preserve">does not </w:t>
      </w:r>
      <w:r w:rsidR="00E4393B" w:rsidRPr="00B6620A">
        <w:rPr>
          <w:rFonts w:ascii="Times New Roman" w:hAnsi="Times New Roman" w:cs="Times New Roman"/>
          <w:sz w:val="24"/>
          <w:szCs w:val="24"/>
        </w:rPr>
        <w:t>control the provision</w:t>
      </w:r>
      <w:r w:rsidR="00E4393B">
        <w:rPr>
          <w:rFonts w:ascii="Times New Roman" w:hAnsi="Times New Roman" w:cs="Times New Roman"/>
          <w:sz w:val="24"/>
          <w:szCs w:val="24"/>
        </w:rPr>
        <w:t xml:space="preserve"> of higher education</w:t>
      </w:r>
      <w:r>
        <w:rPr>
          <w:rFonts w:ascii="Times New Roman" w:hAnsi="Times New Roman" w:cs="Times New Roman"/>
          <w:sz w:val="24"/>
          <w:szCs w:val="24"/>
        </w:rPr>
        <w:t>.</w:t>
      </w:r>
      <w:r w:rsidR="006150C8">
        <w:rPr>
          <w:rFonts w:ascii="Times New Roman" w:hAnsi="Times New Roman" w:cs="Times New Roman"/>
          <w:sz w:val="24"/>
          <w:szCs w:val="24"/>
        </w:rPr>
        <w:t xml:space="preserve"> I</w:t>
      </w:r>
      <w:r w:rsidR="00E4393B" w:rsidRPr="00B6620A">
        <w:rPr>
          <w:rFonts w:ascii="Times New Roman" w:hAnsi="Times New Roman" w:cs="Times New Roman"/>
          <w:sz w:val="24"/>
          <w:szCs w:val="24"/>
        </w:rPr>
        <w:t xml:space="preserve">ncreasingly </w:t>
      </w:r>
      <w:r w:rsidR="006150C8">
        <w:rPr>
          <w:rFonts w:ascii="Times New Roman" w:hAnsi="Times New Roman" w:cs="Times New Roman"/>
          <w:sz w:val="24"/>
          <w:szCs w:val="24"/>
        </w:rPr>
        <w:t>however it</w:t>
      </w:r>
      <w:r w:rsidR="00E4393B" w:rsidRPr="00B6620A">
        <w:rPr>
          <w:rFonts w:ascii="Times New Roman" w:hAnsi="Times New Roman" w:cs="Times New Roman"/>
          <w:sz w:val="24"/>
          <w:szCs w:val="24"/>
        </w:rPr>
        <w:t xml:space="preserve"> </w:t>
      </w:r>
      <w:r w:rsidR="00E4393B">
        <w:rPr>
          <w:rFonts w:ascii="Times New Roman" w:hAnsi="Times New Roman" w:cs="Times New Roman"/>
          <w:sz w:val="24"/>
          <w:szCs w:val="24"/>
        </w:rPr>
        <w:t>has influenced</w:t>
      </w:r>
      <w:r w:rsidR="00E4393B" w:rsidRPr="00B6620A">
        <w:rPr>
          <w:rFonts w:ascii="Times New Roman" w:hAnsi="Times New Roman" w:cs="Times New Roman"/>
          <w:sz w:val="24"/>
          <w:szCs w:val="24"/>
        </w:rPr>
        <w:t xml:space="preserve"> the development of the </w:t>
      </w:r>
      <w:r w:rsidR="00401DA0">
        <w:rPr>
          <w:rFonts w:ascii="Times New Roman" w:hAnsi="Times New Roman" w:cs="Times New Roman"/>
          <w:sz w:val="24"/>
          <w:szCs w:val="24"/>
        </w:rPr>
        <w:t xml:space="preserve">whole </w:t>
      </w:r>
      <w:r w:rsidR="00E4393B" w:rsidRPr="00B6620A">
        <w:rPr>
          <w:rFonts w:ascii="Times New Roman" w:hAnsi="Times New Roman" w:cs="Times New Roman"/>
          <w:sz w:val="24"/>
          <w:szCs w:val="24"/>
        </w:rPr>
        <w:t xml:space="preserve">tertiary education sector </w:t>
      </w:r>
      <w:r w:rsidR="009C6449" w:rsidRPr="00B6620A">
        <w:rPr>
          <w:rFonts w:ascii="Times New Roman" w:hAnsi="Times New Roman" w:cs="Times New Roman"/>
          <w:sz w:val="24"/>
          <w:szCs w:val="24"/>
        </w:rPr>
        <w:t>through the e</w:t>
      </w:r>
      <w:r w:rsidR="009C6449">
        <w:rPr>
          <w:rFonts w:ascii="Times New Roman" w:hAnsi="Times New Roman" w:cs="Times New Roman"/>
          <w:sz w:val="24"/>
          <w:szCs w:val="24"/>
        </w:rPr>
        <w:t>xercise of its financial powers</w:t>
      </w:r>
      <w:r w:rsidR="00E4393B">
        <w:rPr>
          <w:rFonts w:ascii="Times New Roman" w:hAnsi="Times New Roman" w:cs="Times New Roman"/>
          <w:sz w:val="24"/>
          <w:szCs w:val="24"/>
        </w:rPr>
        <w:t>.</w:t>
      </w:r>
      <w:r w:rsidR="009C6449">
        <w:rPr>
          <w:rStyle w:val="FootnoteReference"/>
          <w:sz w:val="24"/>
          <w:szCs w:val="24"/>
        </w:rPr>
        <w:footnoteReference w:id="12"/>
      </w:r>
      <w:r w:rsidR="00E4393B">
        <w:rPr>
          <w:rFonts w:ascii="Times New Roman" w:hAnsi="Times New Roman" w:cs="Times New Roman"/>
          <w:sz w:val="24"/>
          <w:szCs w:val="24"/>
        </w:rPr>
        <w:t xml:space="preserve"> </w:t>
      </w:r>
      <w:r>
        <w:rPr>
          <w:rFonts w:ascii="Times New Roman" w:hAnsi="Times New Roman" w:cs="Times New Roman"/>
          <w:sz w:val="24"/>
          <w:szCs w:val="24"/>
        </w:rPr>
        <w:t xml:space="preserve"> T</w:t>
      </w:r>
      <w:r w:rsidR="00E4393B">
        <w:rPr>
          <w:rFonts w:ascii="Times New Roman" w:hAnsi="Times New Roman" w:cs="Times New Roman"/>
          <w:sz w:val="24"/>
          <w:szCs w:val="24"/>
        </w:rPr>
        <w:t xml:space="preserve">here has always been </w:t>
      </w:r>
      <w:r w:rsidR="00E4393B" w:rsidRPr="00B6620A">
        <w:rPr>
          <w:rFonts w:ascii="Times New Roman" w:hAnsi="Times New Roman" w:cs="Times New Roman"/>
          <w:sz w:val="24"/>
          <w:szCs w:val="24"/>
        </w:rPr>
        <w:t>considerable consultation and negotiation at executive level by ministers and senior public servants in the development of policies relating to education</w:t>
      </w:r>
      <w:r w:rsidR="00E4393B">
        <w:rPr>
          <w:rFonts w:ascii="Times New Roman" w:hAnsi="Times New Roman" w:cs="Times New Roman"/>
          <w:sz w:val="24"/>
          <w:szCs w:val="24"/>
        </w:rPr>
        <w:t xml:space="preserve"> and t</w:t>
      </w:r>
      <w:r w:rsidR="00E4393B" w:rsidRPr="00B6620A">
        <w:rPr>
          <w:rFonts w:ascii="Times New Roman" w:hAnsi="Times New Roman" w:cs="Times New Roman"/>
          <w:sz w:val="24"/>
          <w:szCs w:val="24"/>
        </w:rPr>
        <w:t>here are a number of other government bodies which have been recently created, or reworked, by the Commonwealth Government</w:t>
      </w:r>
      <w:r w:rsidR="00E4393B">
        <w:rPr>
          <w:rFonts w:ascii="Times New Roman" w:hAnsi="Times New Roman" w:cs="Times New Roman"/>
          <w:sz w:val="24"/>
          <w:szCs w:val="24"/>
        </w:rPr>
        <w:t xml:space="preserve"> for this purpose</w:t>
      </w:r>
      <w:r w:rsidR="004A31FB">
        <w:rPr>
          <w:rFonts w:ascii="Times New Roman" w:hAnsi="Times New Roman" w:cs="Times New Roman"/>
          <w:sz w:val="24"/>
          <w:szCs w:val="24"/>
        </w:rPr>
        <w:t>.</w:t>
      </w:r>
      <w:r w:rsidR="00E4393B" w:rsidRPr="00B6620A">
        <w:rPr>
          <w:rFonts w:ascii="Times New Roman" w:hAnsi="Times New Roman" w:cs="Times New Roman"/>
          <w:sz w:val="24"/>
          <w:szCs w:val="24"/>
        </w:rPr>
        <w:t xml:space="preserve"> </w:t>
      </w:r>
    </w:p>
    <w:p w:rsidR="000E3D65" w:rsidRPr="00B6620A" w:rsidRDefault="00E4393B" w:rsidP="000E3D6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w:t>
      </w:r>
      <w:r w:rsidRPr="00B6620A">
        <w:rPr>
          <w:rFonts w:ascii="Times New Roman" w:hAnsi="Times New Roman" w:cs="Times New Roman"/>
          <w:sz w:val="24"/>
          <w:szCs w:val="24"/>
        </w:rPr>
        <w:t>he Commonwealth government</w:t>
      </w:r>
      <w:r w:rsidR="00401DA0">
        <w:rPr>
          <w:rFonts w:ascii="Times New Roman" w:hAnsi="Times New Roman" w:cs="Times New Roman"/>
          <w:sz w:val="24"/>
          <w:szCs w:val="24"/>
        </w:rPr>
        <w:t xml:space="preserve">’s power relating to </w:t>
      </w:r>
      <w:r w:rsidRPr="00B6620A">
        <w:rPr>
          <w:rFonts w:ascii="Times New Roman" w:hAnsi="Times New Roman" w:cs="Times New Roman"/>
          <w:sz w:val="24"/>
          <w:szCs w:val="24"/>
        </w:rPr>
        <w:t xml:space="preserve">the financing of education and the development and review of national policies relating to education, </w:t>
      </w:r>
      <w:r w:rsidR="00401DA0">
        <w:rPr>
          <w:rFonts w:ascii="Times New Roman" w:hAnsi="Times New Roman" w:cs="Times New Roman"/>
          <w:sz w:val="24"/>
          <w:szCs w:val="24"/>
        </w:rPr>
        <w:t xml:space="preserve">is </w:t>
      </w:r>
      <w:r w:rsidRPr="00B6620A">
        <w:rPr>
          <w:rFonts w:ascii="Times New Roman" w:hAnsi="Times New Roman" w:cs="Times New Roman"/>
          <w:sz w:val="24"/>
          <w:szCs w:val="24"/>
        </w:rPr>
        <w:t xml:space="preserve">largely pursuant to the (CTH) </w:t>
      </w:r>
      <w:r w:rsidRPr="00B6620A">
        <w:rPr>
          <w:rFonts w:ascii="Times New Roman" w:hAnsi="Times New Roman" w:cs="Times New Roman"/>
          <w:i/>
          <w:sz w:val="24"/>
          <w:szCs w:val="24"/>
        </w:rPr>
        <w:t>Higher Education Support Act 2003</w:t>
      </w:r>
      <w:r w:rsidR="00401DA0">
        <w:rPr>
          <w:rFonts w:ascii="Times New Roman" w:hAnsi="Times New Roman" w:cs="Times New Roman"/>
          <w:i/>
          <w:sz w:val="24"/>
          <w:szCs w:val="24"/>
        </w:rPr>
        <w:t xml:space="preserve"> </w:t>
      </w:r>
      <w:r w:rsidR="00401DA0" w:rsidRPr="00401DA0">
        <w:rPr>
          <w:rFonts w:ascii="Times New Roman" w:hAnsi="Times New Roman" w:cs="Times New Roman"/>
          <w:sz w:val="24"/>
          <w:szCs w:val="24"/>
        </w:rPr>
        <w:t>(HESA)</w:t>
      </w:r>
      <w:r w:rsidR="000E3D65" w:rsidRPr="00401DA0">
        <w:rPr>
          <w:rFonts w:ascii="Times New Roman" w:hAnsi="Times New Roman" w:cs="Times New Roman"/>
          <w:sz w:val="24"/>
          <w:szCs w:val="24"/>
        </w:rPr>
        <w:t>.</w:t>
      </w:r>
      <w:r w:rsidRPr="00B6620A">
        <w:rPr>
          <w:rFonts w:ascii="Times New Roman" w:hAnsi="Times New Roman" w:cs="Times New Roman"/>
          <w:sz w:val="24"/>
          <w:szCs w:val="24"/>
        </w:rPr>
        <w:t xml:space="preserve"> </w:t>
      </w:r>
      <w:r w:rsidR="000E3D65" w:rsidRPr="00B6620A">
        <w:rPr>
          <w:rFonts w:ascii="Times New Roman" w:hAnsi="Times New Roman" w:cs="Times New Roman"/>
          <w:sz w:val="24"/>
          <w:szCs w:val="24"/>
        </w:rPr>
        <w:t>The level of funding provided to a university will depend on how the university is classified in</w:t>
      </w:r>
      <w:r w:rsidR="00401DA0">
        <w:rPr>
          <w:rFonts w:ascii="Times New Roman" w:hAnsi="Times New Roman" w:cs="Times New Roman"/>
          <w:sz w:val="24"/>
          <w:szCs w:val="24"/>
        </w:rPr>
        <w:t xml:space="preserve"> HESA</w:t>
      </w:r>
      <w:r w:rsidR="000E3D65" w:rsidRPr="00B6620A">
        <w:rPr>
          <w:rFonts w:ascii="Times New Roman" w:hAnsi="Times New Roman" w:cs="Times New Roman"/>
          <w:i/>
          <w:sz w:val="24"/>
          <w:szCs w:val="24"/>
        </w:rPr>
        <w:t xml:space="preserve">.  </w:t>
      </w:r>
      <w:r w:rsidR="000E3D65" w:rsidRPr="00B6620A">
        <w:rPr>
          <w:rFonts w:ascii="Times New Roman" w:hAnsi="Times New Roman" w:cs="Times New Roman"/>
          <w:sz w:val="24"/>
          <w:szCs w:val="24"/>
        </w:rPr>
        <w:t>There are three classes of university higher education provide</w:t>
      </w:r>
      <w:r w:rsidR="000E3D65">
        <w:rPr>
          <w:rFonts w:ascii="Times New Roman" w:hAnsi="Times New Roman" w:cs="Times New Roman"/>
          <w:sz w:val="24"/>
          <w:szCs w:val="24"/>
        </w:rPr>
        <w:t>r</w:t>
      </w:r>
      <w:r w:rsidR="000E3D65" w:rsidRPr="00B6620A">
        <w:rPr>
          <w:rFonts w:ascii="Times New Roman" w:hAnsi="Times New Roman" w:cs="Times New Roman"/>
          <w:sz w:val="24"/>
          <w:szCs w:val="24"/>
        </w:rPr>
        <w:t>:</w:t>
      </w:r>
      <w:r w:rsidR="000E3D65">
        <w:rPr>
          <w:rFonts w:ascii="Times New Roman" w:hAnsi="Times New Roman" w:cs="Times New Roman"/>
          <w:sz w:val="24"/>
          <w:szCs w:val="24"/>
          <w:vertAlign w:val="superscript"/>
        </w:rPr>
        <w:t xml:space="preserve"> </w:t>
      </w:r>
      <w:r w:rsidR="000E3D65" w:rsidRPr="00B6620A">
        <w:rPr>
          <w:rFonts w:ascii="Times New Roman" w:hAnsi="Times New Roman" w:cs="Times New Roman"/>
          <w:sz w:val="24"/>
          <w:szCs w:val="24"/>
        </w:rPr>
        <w:t xml:space="preserve">Table A providers (which includes universities traditionally </w:t>
      </w:r>
      <w:r w:rsidR="000E3D65">
        <w:rPr>
          <w:rFonts w:ascii="Times New Roman" w:hAnsi="Times New Roman" w:cs="Times New Roman"/>
          <w:sz w:val="24"/>
          <w:szCs w:val="24"/>
        </w:rPr>
        <w:t xml:space="preserve">known as public universities); </w:t>
      </w:r>
      <w:r w:rsidR="000E3D65" w:rsidRPr="00B6620A">
        <w:rPr>
          <w:rFonts w:ascii="Times New Roman" w:hAnsi="Times New Roman" w:cs="Times New Roman"/>
          <w:sz w:val="24"/>
          <w:szCs w:val="24"/>
        </w:rPr>
        <w:t>Table B providers (which is constituted by private universities incorporated in Australia i</w:t>
      </w:r>
      <w:r w:rsidR="000E3D65">
        <w:rPr>
          <w:rFonts w:ascii="Times New Roman" w:hAnsi="Times New Roman" w:cs="Times New Roman"/>
          <w:sz w:val="24"/>
          <w:szCs w:val="24"/>
        </w:rPr>
        <w:t xml:space="preserve">ncluding Bond and Notre Dame); </w:t>
      </w:r>
      <w:r w:rsidR="000E3D65" w:rsidRPr="00B6620A">
        <w:rPr>
          <w:rFonts w:ascii="Times New Roman" w:hAnsi="Times New Roman" w:cs="Times New Roman"/>
          <w:sz w:val="24"/>
          <w:szCs w:val="24"/>
        </w:rPr>
        <w:t>Table C providers (which is constituted by the private universities incorporated outside Australia, for example the Carnegie Mellon University).</w:t>
      </w:r>
      <w:r w:rsidR="000E3D65">
        <w:rPr>
          <w:rFonts w:ascii="Times New Roman" w:hAnsi="Times New Roman" w:cs="Times New Roman"/>
          <w:sz w:val="24"/>
          <w:szCs w:val="24"/>
        </w:rPr>
        <w:t xml:space="preserve">  These are</w:t>
      </w:r>
      <w:r w:rsidR="00401DA0">
        <w:rPr>
          <w:rFonts w:ascii="Times New Roman" w:hAnsi="Times New Roman" w:cs="Times New Roman"/>
          <w:sz w:val="24"/>
          <w:szCs w:val="24"/>
        </w:rPr>
        <w:t xml:space="preserve"> all</w:t>
      </w:r>
      <w:r w:rsidR="000E3D65">
        <w:rPr>
          <w:rFonts w:ascii="Times New Roman" w:hAnsi="Times New Roman" w:cs="Times New Roman"/>
          <w:sz w:val="24"/>
          <w:szCs w:val="24"/>
        </w:rPr>
        <w:t xml:space="preserve"> self-accrediting.</w:t>
      </w:r>
      <w:r w:rsidR="00997679">
        <w:rPr>
          <w:rFonts w:ascii="Times New Roman" w:hAnsi="Times New Roman" w:cs="Times New Roman"/>
          <w:sz w:val="24"/>
          <w:szCs w:val="24"/>
        </w:rPr>
        <w:t xml:space="preserve">  </w:t>
      </w:r>
    </w:p>
    <w:p w:rsidR="003D56B9" w:rsidRDefault="00997679" w:rsidP="003D56B9">
      <w:pPr>
        <w:spacing w:line="360" w:lineRule="auto"/>
        <w:rPr>
          <w:rFonts w:ascii="Times New Roman" w:hAnsi="Times New Roman" w:cs="Times New Roman"/>
          <w:sz w:val="24"/>
          <w:szCs w:val="24"/>
        </w:rPr>
      </w:pPr>
      <w:r>
        <w:rPr>
          <w:rFonts w:ascii="Times New Roman" w:hAnsi="Times New Roman" w:cs="Times New Roman"/>
          <w:sz w:val="24"/>
          <w:szCs w:val="24"/>
        </w:rPr>
        <w:t>For students assistance is provided via t</w:t>
      </w:r>
      <w:r w:rsidR="000E3D65">
        <w:rPr>
          <w:rFonts w:ascii="Times New Roman" w:hAnsi="Times New Roman" w:cs="Times New Roman"/>
          <w:sz w:val="24"/>
          <w:szCs w:val="24"/>
        </w:rPr>
        <w:t>he Higher Education C</w:t>
      </w:r>
      <w:r w:rsidR="000E3D65" w:rsidRPr="00B6620A">
        <w:rPr>
          <w:rFonts w:ascii="Times New Roman" w:hAnsi="Times New Roman" w:cs="Times New Roman"/>
          <w:sz w:val="24"/>
          <w:szCs w:val="24"/>
        </w:rPr>
        <w:t>on</w:t>
      </w:r>
      <w:r w:rsidR="000E3D65">
        <w:rPr>
          <w:rFonts w:ascii="Times New Roman" w:hAnsi="Times New Roman" w:cs="Times New Roman"/>
          <w:sz w:val="24"/>
          <w:szCs w:val="24"/>
        </w:rPr>
        <w:t>tribution S</w:t>
      </w:r>
      <w:r w:rsidR="000E3D65" w:rsidRPr="00B6620A">
        <w:rPr>
          <w:rFonts w:ascii="Times New Roman" w:hAnsi="Times New Roman" w:cs="Times New Roman"/>
          <w:sz w:val="24"/>
          <w:szCs w:val="24"/>
        </w:rPr>
        <w:t>cheme</w:t>
      </w:r>
      <w:r w:rsidR="000E3D65">
        <w:rPr>
          <w:rFonts w:ascii="Times New Roman" w:hAnsi="Times New Roman" w:cs="Times New Roman"/>
          <w:sz w:val="24"/>
          <w:szCs w:val="24"/>
        </w:rPr>
        <w:t xml:space="preserve"> (HECS) </w:t>
      </w:r>
      <w:r>
        <w:rPr>
          <w:rFonts w:ascii="Times New Roman" w:hAnsi="Times New Roman" w:cs="Times New Roman"/>
          <w:sz w:val="24"/>
          <w:szCs w:val="24"/>
        </w:rPr>
        <w:t xml:space="preserve">in the form of </w:t>
      </w:r>
      <w:r w:rsidR="000E3D65">
        <w:rPr>
          <w:rFonts w:ascii="Times New Roman" w:hAnsi="Times New Roman" w:cs="Times New Roman"/>
          <w:sz w:val="24"/>
          <w:szCs w:val="24"/>
        </w:rPr>
        <w:t xml:space="preserve">loans which enable them </w:t>
      </w:r>
      <w:r w:rsidR="000E3D65" w:rsidRPr="00B6620A">
        <w:rPr>
          <w:rFonts w:ascii="Times New Roman" w:hAnsi="Times New Roman" w:cs="Times New Roman"/>
          <w:sz w:val="24"/>
          <w:szCs w:val="24"/>
        </w:rPr>
        <w:t>to meet the costs of higher education.</w:t>
      </w:r>
      <w:r w:rsidR="002732F9">
        <w:rPr>
          <w:rStyle w:val="FootnoteReference"/>
          <w:sz w:val="24"/>
          <w:szCs w:val="24"/>
        </w:rPr>
        <w:footnoteReference w:id="13"/>
      </w:r>
      <w:r w:rsidR="000E3D65" w:rsidRPr="00B6620A">
        <w:rPr>
          <w:rFonts w:ascii="Times New Roman" w:hAnsi="Times New Roman" w:cs="Times New Roman"/>
          <w:sz w:val="24"/>
          <w:szCs w:val="24"/>
        </w:rPr>
        <w:t xml:space="preserve"> </w:t>
      </w:r>
      <w:r>
        <w:rPr>
          <w:rFonts w:ascii="Times New Roman" w:hAnsi="Times New Roman" w:cs="Times New Roman"/>
          <w:sz w:val="24"/>
          <w:szCs w:val="24"/>
        </w:rPr>
        <w:t xml:space="preserve"> Loan </w:t>
      </w:r>
      <w:r w:rsidR="00E4393B" w:rsidRPr="00B6620A">
        <w:rPr>
          <w:rFonts w:ascii="Times New Roman" w:hAnsi="Times New Roman" w:cs="Times New Roman"/>
          <w:sz w:val="24"/>
          <w:szCs w:val="24"/>
        </w:rPr>
        <w:t xml:space="preserve">assistance </w:t>
      </w:r>
      <w:r>
        <w:rPr>
          <w:rFonts w:ascii="Times New Roman" w:hAnsi="Times New Roman" w:cs="Times New Roman"/>
          <w:sz w:val="24"/>
          <w:szCs w:val="24"/>
        </w:rPr>
        <w:t xml:space="preserve">is </w:t>
      </w:r>
      <w:r w:rsidR="00E4393B" w:rsidRPr="00B6620A">
        <w:rPr>
          <w:rFonts w:ascii="Times New Roman" w:hAnsi="Times New Roman" w:cs="Times New Roman"/>
          <w:sz w:val="24"/>
          <w:szCs w:val="24"/>
        </w:rPr>
        <w:t>now be provided to students in three</w:t>
      </w:r>
      <w:r w:rsidR="00E4393B">
        <w:rPr>
          <w:rFonts w:ascii="Times New Roman" w:hAnsi="Times New Roman" w:cs="Times New Roman"/>
          <w:sz w:val="24"/>
          <w:szCs w:val="24"/>
        </w:rPr>
        <w:t xml:space="preserve"> ways: </w:t>
      </w:r>
      <w:r w:rsidR="00E4393B" w:rsidRPr="00B6620A">
        <w:rPr>
          <w:rFonts w:ascii="Times New Roman" w:hAnsi="Times New Roman" w:cs="Times New Roman"/>
          <w:sz w:val="24"/>
          <w:szCs w:val="24"/>
        </w:rPr>
        <w:t xml:space="preserve"> HECS-HELP, which provides assistance to meet the student contribution amount for a Commonwealth supported </w:t>
      </w:r>
      <w:r w:rsidR="00E4393B">
        <w:rPr>
          <w:rFonts w:ascii="Times New Roman" w:hAnsi="Times New Roman" w:cs="Times New Roman"/>
          <w:sz w:val="24"/>
          <w:szCs w:val="24"/>
        </w:rPr>
        <w:t xml:space="preserve">unit </w:t>
      </w:r>
      <w:r w:rsidR="00E4393B" w:rsidRPr="00B6620A">
        <w:rPr>
          <w:rFonts w:ascii="Times New Roman" w:hAnsi="Times New Roman" w:cs="Times New Roman"/>
          <w:sz w:val="24"/>
          <w:szCs w:val="24"/>
        </w:rPr>
        <w:t>of study</w:t>
      </w:r>
      <w:r w:rsidR="00E4393B">
        <w:rPr>
          <w:rFonts w:ascii="Times New Roman" w:hAnsi="Times New Roman" w:cs="Times New Roman"/>
          <w:sz w:val="24"/>
          <w:szCs w:val="24"/>
        </w:rPr>
        <w:t>; a</w:t>
      </w:r>
      <w:r w:rsidR="00E4393B" w:rsidRPr="00B6620A">
        <w:rPr>
          <w:rFonts w:ascii="Times New Roman" w:hAnsi="Times New Roman" w:cs="Times New Roman"/>
          <w:sz w:val="24"/>
          <w:szCs w:val="24"/>
        </w:rPr>
        <w:t xml:space="preserve"> student who</w:t>
      </w:r>
      <w:r w:rsidR="00E4393B">
        <w:rPr>
          <w:rFonts w:ascii="Times New Roman" w:hAnsi="Times New Roman" w:cs="Times New Roman"/>
          <w:sz w:val="24"/>
          <w:szCs w:val="24"/>
        </w:rPr>
        <w:t xml:space="preserve"> is paying tuition fees for non-</w:t>
      </w:r>
      <w:r w:rsidR="00E4393B" w:rsidRPr="00B6620A">
        <w:rPr>
          <w:rFonts w:ascii="Times New Roman" w:hAnsi="Times New Roman" w:cs="Times New Roman"/>
          <w:sz w:val="24"/>
          <w:szCs w:val="24"/>
        </w:rPr>
        <w:t>Commonwealth supported units of study may obtain FEE-HELP assistance</w:t>
      </w:r>
      <w:r w:rsidR="00E4393B">
        <w:rPr>
          <w:rFonts w:ascii="Times New Roman" w:hAnsi="Times New Roman" w:cs="Times New Roman"/>
          <w:sz w:val="24"/>
          <w:szCs w:val="24"/>
        </w:rPr>
        <w:t>; and a</w:t>
      </w:r>
      <w:r w:rsidR="00E4393B" w:rsidRPr="00B6620A">
        <w:rPr>
          <w:rFonts w:ascii="Times New Roman" w:hAnsi="Times New Roman" w:cs="Times New Roman"/>
          <w:sz w:val="24"/>
          <w:szCs w:val="24"/>
        </w:rPr>
        <w:t xml:space="preserve"> student who has to undertake overseas study may obtain OS-HELP.</w:t>
      </w:r>
      <w:r w:rsidR="00E4393B">
        <w:rPr>
          <w:rStyle w:val="FootnoteReference"/>
          <w:sz w:val="24"/>
          <w:szCs w:val="24"/>
        </w:rPr>
        <w:footnoteReference w:id="14"/>
      </w:r>
      <w:r w:rsidR="00E4393B">
        <w:rPr>
          <w:rFonts w:ascii="Times New Roman" w:hAnsi="Times New Roman" w:cs="Times New Roman"/>
          <w:sz w:val="24"/>
          <w:szCs w:val="24"/>
        </w:rPr>
        <w:t xml:space="preserve">  </w:t>
      </w:r>
      <w:r w:rsidR="00E4393B" w:rsidRPr="00B6620A">
        <w:rPr>
          <w:rFonts w:ascii="Times New Roman" w:hAnsi="Times New Roman" w:cs="Times New Roman"/>
          <w:sz w:val="24"/>
          <w:szCs w:val="24"/>
        </w:rPr>
        <w:t>Amounts advanced under HECS-HELP, FEE-HELP or OS-HELP are loans and a debt to the Commonwealth</w:t>
      </w:r>
      <w:r w:rsidR="00E4393B">
        <w:rPr>
          <w:rFonts w:ascii="Times New Roman" w:hAnsi="Times New Roman" w:cs="Times New Roman"/>
          <w:sz w:val="24"/>
          <w:szCs w:val="24"/>
        </w:rPr>
        <w:t>.</w:t>
      </w:r>
      <w:r w:rsidR="00E4393B">
        <w:rPr>
          <w:rStyle w:val="FootnoteReference"/>
          <w:sz w:val="24"/>
          <w:szCs w:val="24"/>
        </w:rPr>
        <w:footnoteReference w:id="15"/>
      </w:r>
      <w:r w:rsidR="003D56B9">
        <w:rPr>
          <w:rFonts w:ascii="Times New Roman" w:hAnsi="Times New Roman" w:cs="Times New Roman"/>
          <w:sz w:val="24"/>
          <w:szCs w:val="24"/>
        </w:rPr>
        <w:t xml:space="preserve">  </w:t>
      </w:r>
      <w:r w:rsidR="003D56B9" w:rsidRPr="00B6620A">
        <w:rPr>
          <w:rFonts w:ascii="Times New Roman" w:hAnsi="Times New Roman" w:cs="Times New Roman"/>
          <w:sz w:val="24"/>
          <w:szCs w:val="24"/>
        </w:rPr>
        <w:t>The Commonwealth also provides financial assistance to students through the Youth Allowance and financial support is provided for indigenous education.</w:t>
      </w:r>
      <w:r w:rsidR="003D56B9" w:rsidRPr="00B6620A">
        <w:rPr>
          <w:rStyle w:val="FootnoteReference"/>
          <w:sz w:val="24"/>
          <w:szCs w:val="24"/>
        </w:rPr>
        <w:footnoteReference w:id="16"/>
      </w:r>
      <w:r w:rsidR="003D56B9" w:rsidRPr="00B6620A">
        <w:rPr>
          <w:rFonts w:ascii="Times New Roman" w:hAnsi="Times New Roman" w:cs="Times New Roman"/>
          <w:sz w:val="24"/>
          <w:szCs w:val="24"/>
        </w:rPr>
        <w:t xml:space="preserve"> </w:t>
      </w:r>
    </w:p>
    <w:p w:rsidR="0064781A" w:rsidRDefault="0064781A" w:rsidP="0064781A">
      <w:pPr>
        <w:spacing w:line="360" w:lineRule="auto"/>
        <w:rPr>
          <w:rFonts w:ascii="Times New Roman" w:hAnsi="Times New Roman" w:cs="Times New Roman"/>
          <w:sz w:val="24"/>
          <w:szCs w:val="24"/>
        </w:rPr>
      </w:pPr>
      <w:r w:rsidRPr="00B6620A">
        <w:rPr>
          <w:rFonts w:ascii="Times New Roman" w:hAnsi="Times New Roman" w:cs="Times New Roman"/>
          <w:sz w:val="24"/>
          <w:szCs w:val="24"/>
        </w:rPr>
        <w:t xml:space="preserve">The provision of education to overseas students is provided for in the </w:t>
      </w:r>
      <w:r w:rsidR="00203C58">
        <w:rPr>
          <w:rFonts w:ascii="Times New Roman" w:hAnsi="Times New Roman" w:cs="Times New Roman"/>
          <w:sz w:val="24"/>
          <w:szCs w:val="24"/>
        </w:rPr>
        <w:t>(</w:t>
      </w:r>
      <w:r w:rsidRPr="00B6620A">
        <w:rPr>
          <w:rFonts w:ascii="Times New Roman" w:hAnsi="Times New Roman" w:cs="Times New Roman"/>
          <w:sz w:val="24"/>
          <w:szCs w:val="24"/>
        </w:rPr>
        <w:t xml:space="preserve">CTH) </w:t>
      </w:r>
      <w:r w:rsidRPr="00B6620A">
        <w:rPr>
          <w:rFonts w:ascii="Times New Roman" w:hAnsi="Times New Roman" w:cs="Times New Roman"/>
          <w:i/>
          <w:sz w:val="24"/>
          <w:szCs w:val="24"/>
        </w:rPr>
        <w:t xml:space="preserve">Education Services to Overseas Students Act 2000 </w:t>
      </w:r>
      <w:r w:rsidRPr="00B6620A">
        <w:rPr>
          <w:rFonts w:ascii="Times New Roman" w:hAnsi="Times New Roman" w:cs="Times New Roman"/>
          <w:sz w:val="24"/>
          <w:szCs w:val="24"/>
        </w:rPr>
        <w:t>and the National Code made pursuant to that Act.</w:t>
      </w:r>
      <w:r w:rsidRPr="00B6620A">
        <w:rPr>
          <w:rStyle w:val="FootnoteReference"/>
          <w:sz w:val="24"/>
          <w:szCs w:val="24"/>
        </w:rPr>
        <w:footnoteReference w:id="17"/>
      </w:r>
      <w:r>
        <w:rPr>
          <w:rFonts w:ascii="Times New Roman" w:hAnsi="Times New Roman" w:cs="Times New Roman"/>
          <w:sz w:val="24"/>
          <w:szCs w:val="24"/>
        </w:rPr>
        <w:t xml:space="preserve"> </w:t>
      </w:r>
      <w:r w:rsidRPr="00B6620A">
        <w:rPr>
          <w:rFonts w:ascii="Times New Roman" w:hAnsi="Times New Roman" w:cs="Times New Roman"/>
          <w:sz w:val="24"/>
          <w:szCs w:val="24"/>
        </w:rPr>
        <w:t xml:space="preserve">Overseas student charges are regulated by Commonwealth legislation. </w:t>
      </w:r>
    </w:p>
    <w:p w:rsidR="001F30BC" w:rsidRDefault="00532A84" w:rsidP="00AA5715">
      <w:pPr>
        <w:spacing w:line="360" w:lineRule="auto"/>
        <w:rPr>
          <w:rFonts w:ascii="Times New Roman" w:hAnsi="Times New Roman" w:cs="Times New Roman"/>
          <w:sz w:val="24"/>
          <w:szCs w:val="24"/>
        </w:rPr>
      </w:pPr>
      <w:r>
        <w:rPr>
          <w:rFonts w:ascii="Times New Roman" w:hAnsi="Times New Roman" w:cs="Times New Roman"/>
          <w:sz w:val="24"/>
          <w:szCs w:val="24"/>
        </w:rPr>
        <w:t>The</w:t>
      </w:r>
      <w:r w:rsidR="003D56B9">
        <w:rPr>
          <w:rFonts w:ascii="Times New Roman" w:hAnsi="Times New Roman" w:cs="Times New Roman"/>
          <w:sz w:val="24"/>
          <w:szCs w:val="24"/>
        </w:rPr>
        <w:t xml:space="preserve"> system </w:t>
      </w:r>
      <w:r w:rsidR="002732F9">
        <w:rPr>
          <w:rFonts w:ascii="Times New Roman" w:hAnsi="Times New Roman" w:cs="Times New Roman"/>
          <w:sz w:val="24"/>
          <w:szCs w:val="24"/>
        </w:rPr>
        <w:t xml:space="preserve">under which the sector operated </w:t>
      </w:r>
      <w:r w:rsidR="003D56B9">
        <w:rPr>
          <w:rFonts w:ascii="Times New Roman" w:hAnsi="Times New Roman" w:cs="Times New Roman"/>
          <w:sz w:val="24"/>
          <w:szCs w:val="24"/>
        </w:rPr>
        <w:t>was long seen to be problematic.  I</w:t>
      </w:r>
      <w:r w:rsidR="001F30BC">
        <w:rPr>
          <w:rFonts w:ascii="Times New Roman" w:hAnsi="Times New Roman" w:cs="Times New Roman"/>
          <w:sz w:val="24"/>
          <w:szCs w:val="24"/>
        </w:rPr>
        <w:t xml:space="preserve">n a national sense, </w:t>
      </w:r>
      <w:r w:rsidR="003D56B9">
        <w:rPr>
          <w:rFonts w:ascii="Times New Roman" w:hAnsi="Times New Roman" w:cs="Times New Roman"/>
          <w:sz w:val="24"/>
          <w:szCs w:val="24"/>
        </w:rPr>
        <w:t xml:space="preserve">while </w:t>
      </w:r>
      <w:r w:rsidR="001F30BC">
        <w:rPr>
          <w:rFonts w:ascii="Times New Roman" w:hAnsi="Times New Roman" w:cs="Times New Roman"/>
          <w:sz w:val="24"/>
          <w:szCs w:val="24"/>
        </w:rPr>
        <w:t xml:space="preserve">there </w:t>
      </w:r>
      <w:r w:rsidR="003D56B9">
        <w:rPr>
          <w:rFonts w:ascii="Times New Roman" w:hAnsi="Times New Roman" w:cs="Times New Roman"/>
          <w:sz w:val="24"/>
          <w:szCs w:val="24"/>
        </w:rPr>
        <w:t xml:space="preserve">were </w:t>
      </w:r>
      <w:r w:rsidR="001F30BC">
        <w:rPr>
          <w:rFonts w:ascii="Times New Roman" w:hAnsi="Times New Roman" w:cs="Times New Roman"/>
          <w:sz w:val="24"/>
          <w:szCs w:val="24"/>
        </w:rPr>
        <w:t xml:space="preserve">the </w:t>
      </w:r>
      <w:r w:rsidR="001F30BC" w:rsidRPr="00A00A26">
        <w:rPr>
          <w:rFonts w:ascii="Times New Roman" w:hAnsi="Times New Roman" w:cs="Times New Roman"/>
          <w:i/>
          <w:sz w:val="24"/>
          <w:szCs w:val="24"/>
        </w:rPr>
        <w:t>National Protocols</w:t>
      </w:r>
      <w:r w:rsidR="001F30BC">
        <w:rPr>
          <w:rFonts w:ascii="Times New Roman" w:hAnsi="Times New Roman" w:cs="Times New Roman"/>
          <w:sz w:val="24"/>
          <w:szCs w:val="24"/>
        </w:rPr>
        <w:t xml:space="preserve"> to provide a common frame of reference, different approaches in different </w:t>
      </w:r>
      <w:r w:rsidR="003D56B9">
        <w:rPr>
          <w:rFonts w:ascii="Times New Roman" w:hAnsi="Times New Roman" w:cs="Times New Roman"/>
          <w:sz w:val="24"/>
          <w:szCs w:val="24"/>
        </w:rPr>
        <w:t xml:space="preserve">states led to a divergence from </w:t>
      </w:r>
      <w:r w:rsidR="001F30BC">
        <w:rPr>
          <w:rFonts w:ascii="Times New Roman" w:hAnsi="Times New Roman" w:cs="Times New Roman"/>
          <w:sz w:val="24"/>
          <w:szCs w:val="24"/>
        </w:rPr>
        <w:t xml:space="preserve">consistency in </w:t>
      </w:r>
      <w:r>
        <w:rPr>
          <w:rFonts w:ascii="Times New Roman" w:hAnsi="Times New Roman" w:cs="Times New Roman"/>
          <w:sz w:val="24"/>
          <w:szCs w:val="24"/>
        </w:rPr>
        <w:t xml:space="preserve">standards </w:t>
      </w:r>
      <w:r w:rsidR="00AA5715">
        <w:rPr>
          <w:rFonts w:ascii="Times New Roman" w:hAnsi="Times New Roman" w:cs="Times New Roman"/>
          <w:sz w:val="24"/>
          <w:szCs w:val="24"/>
        </w:rPr>
        <w:t>and oversight of providers</w:t>
      </w:r>
      <w:r w:rsidR="001F30BC">
        <w:rPr>
          <w:rFonts w:ascii="Times New Roman" w:hAnsi="Times New Roman" w:cs="Times New Roman"/>
          <w:sz w:val="24"/>
          <w:szCs w:val="24"/>
        </w:rPr>
        <w:t xml:space="preserve">.  This </w:t>
      </w:r>
      <w:r w:rsidR="00DF622C">
        <w:rPr>
          <w:rFonts w:ascii="Times New Roman" w:hAnsi="Times New Roman" w:cs="Times New Roman"/>
          <w:sz w:val="24"/>
          <w:szCs w:val="24"/>
        </w:rPr>
        <w:t xml:space="preserve">was </w:t>
      </w:r>
      <w:r w:rsidR="001F30BC">
        <w:rPr>
          <w:rFonts w:ascii="Times New Roman" w:hAnsi="Times New Roman" w:cs="Times New Roman"/>
          <w:sz w:val="24"/>
          <w:szCs w:val="24"/>
        </w:rPr>
        <w:t xml:space="preserve">the case in relation to </w:t>
      </w:r>
      <w:r w:rsidR="00AA5715">
        <w:rPr>
          <w:rFonts w:ascii="Times New Roman" w:hAnsi="Times New Roman" w:cs="Times New Roman"/>
          <w:sz w:val="24"/>
          <w:szCs w:val="24"/>
        </w:rPr>
        <w:t xml:space="preserve">the private providers, or </w:t>
      </w:r>
      <w:r w:rsidR="001F30BC">
        <w:rPr>
          <w:rFonts w:ascii="Times New Roman" w:hAnsi="Times New Roman" w:cs="Times New Roman"/>
          <w:sz w:val="24"/>
          <w:szCs w:val="24"/>
        </w:rPr>
        <w:t>providers other than the</w:t>
      </w:r>
      <w:r w:rsidR="00AA5715">
        <w:rPr>
          <w:rFonts w:ascii="Times New Roman" w:hAnsi="Times New Roman" w:cs="Times New Roman"/>
          <w:sz w:val="24"/>
          <w:szCs w:val="24"/>
        </w:rPr>
        <w:t xml:space="preserve"> </w:t>
      </w:r>
      <w:r w:rsidR="00AA5715">
        <w:rPr>
          <w:rFonts w:ascii="Times New Roman" w:hAnsi="Times New Roman" w:cs="Times New Roman"/>
          <w:sz w:val="24"/>
          <w:szCs w:val="24"/>
        </w:rPr>
        <w:lastRenderedPageBreak/>
        <w:t>universities who are self-</w:t>
      </w:r>
      <w:r w:rsidR="001F30BC">
        <w:rPr>
          <w:rFonts w:ascii="Times New Roman" w:hAnsi="Times New Roman" w:cs="Times New Roman"/>
          <w:sz w:val="24"/>
          <w:szCs w:val="24"/>
        </w:rPr>
        <w:t>accrediting</w:t>
      </w:r>
      <w:r w:rsidR="00AA5715">
        <w:rPr>
          <w:rFonts w:ascii="Times New Roman" w:hAnsi="Times New Roman" w:cs="Times New Roman"/>
          <w:sz w:val="24"/>
          <w:szCs w:val="24"/>
        </w:rPr>
        <w:t>.  It was noted that there were serious quality issues, particularly with the proliferation of entry in to the sector in recent years of</w:t>
      </w:r>
      <w:r w:rsidR="00DF622C">
        <w:rPr>
          <w:rFonts w:ascii="Times New Roman" w:hAnsi="Times New Roman" w:cs="Times New Roman"/>
          <w:sz w:val="24"/>
          <w:szCs w:val="24"/>
        </w:rPr>
        <w:t xml:space="preserve"> these providers</w:t>
      </w:r>
      <w:r w:rsidR="00AA5715">
        <w:rPr>
          <w:rFonts w:ascii="Times New Roman" w:hAnsi="Times New Roman" w:cs="Times New Roman"/>
          <w:sz w:val="24"/>
          <w:szCs w:val="24"/>
        </w:rPr>
        <w:t>, mostly in the VET sector</w:t>
      </w:r>
      <w:r w:rsidR="00DF622C">
        <w:rPr>
          <w:rFonts w:ascii="Times New Roman" w:hAnsi="Times New Roman" w:cs="Times New Roman"/>
          <w:sz w:val="24"/>
          <w:szCs w:val="24"/>
        </w:rPr>
        <w:t xml:space="preserve"> but some also being in the business of providing higher education</w:t>
      </w:r>
      <w:r w:rsidR="00AA5715">
        <w:rPr>
          <w:rFonts w:ascii="Times New Roman" w:hAnsi="Times New Roman" w:cs="Times New Roman"/>
          <w:sz w:val="24"/>
          <w:szCs w:val="24"/>
        </w:rPr>
        <w:t>.</w:t>
      </w:r>
      <w:r w:rsidR="00AA5715">
        <w:rPr>
          <w:rStyle w:val="FootnoteReference"/>
          <w:sz w:val="24"/>
          <w:szCs w:val="24"/>
        </w:rPr>
        <w:footnoteReference w:id="18"/>
      </w:r>
      <w:r w:rsidR="00AA5715">
        <w:rPr>
          <w:rFonts w:ascii="Times New Roman" w:hAnsi="Times New Roman" w:cs="Times New Roman"/>
          <w:sz w:val="24"/>
          <w:szCs w:val="24"/>
        </w:rPr>
        <w:t xml:space="preserve">   There </w:t>
      </w:r>
      <w:r w:rsidR="009C6449">
        <w:rPr>
          <w:rFonts w:ascii="Times New Roman" w:hAnsi="Times New Roman" w:cs="Times New Roman"/>
          <w:sz w:val="24"/>
          <w:szCs w:val="24"/>
        </w:rPr>
        <w:t xml:space="preserve">has been extensive media coverage </w:t>
      </w:r>
      <w:r w:rsidR="00AA5715">
        <w:rPr>
          <w:rFonts w:ascii="Times New Roman" w:hAnsi="Times New Roman" w:cs="Times New Roman"/>
          <w:sz w:val="24"/>
          <w:szCs w:val="24"/>
        </w:rPr>
        <w:t xml:space="preserve">relating to the </w:t>
      </w:r>
      <w:r w:rsidR="009C6449">
        <w:rPr>
          <w:rFonts w:ascii="Times New Roman" w:hAnsi="Times New Roman" w:cs="Times New Roman"/>
          <w:sz w:val="24"/>
          <w:szCs w:val="24"/>
        </w:rPr>
        <w:t>collapse of some of these institutions leaving stude</w:t>
      </w:r>
      <w:r w:rsidR="00AA5715">
        <w:rPr>
          <w:rFonts w:ascii="Times New Roman" w:hAnsi="Times New Roman" w:cs="Times New Roman"/>
          <w:sz w:val="24"/>
          <w:szCs w:val="24"/>
        </w:rPr>
        <w:t xml:space="preserve">nts </w:t>
      </w:r>
      <w:r>
        <w:rPr>
          <w:rFonts w:ascii="Times New Roman" w:hAnsi="Times New Roman" w:cs="Times New Roman"/>
          <w:sz w:val="24"/>
          <w:szCs w:val="24"/>
        </w:rPr>
        <w:t>‘adrift’.   T</w:t>
      </w:r>
      <w:r w:rsidR="00AA5715">
        <w:rPr>
          <w:rFonts w:ascii="Times New Roman" w:hAnsi="Times New Roman" w:cs="Times New Roman"/>
          <w:sz w:val="24"/>
          <w:szCs w:val="24"/>
        </w:rPr>
        <w:t xml:space="preserve">his </w:t>
      </w:r>
      <w:r>
        <w:rPr>
          <w:rFonts w:ascii="Times New Roman" w:hAnsi="Times New Roman" w:cs="Times New Roman"/>
          <w:sz w:val="24"/>
          <w:szCs w:val="24"/>
        </w:rPr>
        <w:t>was a troubling situation for many reasons, most obvious being the potential for</w:t>
      </w:r>
      <w:r w:rsidR="00AA5715">
        <w:rPr>
          <w:rFonts w:ascii="Times New Roman" w:hAnsi="Times New Roman" w:cs="Times New Roman"/>
          <w:sz w:val="24"/>
          <w:szCs w:val="24"/>
        </w:rPr>
        <w:t xml:space="preserve"> damage to</w:t>
      </w:r>
      <w:r w:rsidR="009C6449">
        <w:rPr>
          <w:rFonts w:ascii="Times New Roman" w:hAnsi="Times New Roman" w:cs="Times New Roman"/>
          <w:sz w:val="24"/>
          <w:szCs w:val="24"/>
        </w:rPr>
        <w:t xml:space="preserve"> the reputation of Australia overseas as a provider of quality tertiary education.</w:t>
      </w:r>
    </w:p>
    <w:p w:rsidR="00115C90" w:rsidRPr="00B6620A" w:rsidRDefault="00AA5715" w:rsidP="002E281B">
      <w:pPr>
        <w:spacing w:line="360" w:lineRule="auto"/>
        <w:rPr>
          <w:rFonts w:ascii="Times New Roman" w:hAnsi="Times New Roman" w:cs="Times New Roman"/>
          <w:sz w:val="24"/>
          <w:szCs w:val="24"/>
        </w:rPr>
      </w:pPr>
      <w:r>
        <w:rPr>
          <w:rFonts w:ascii="Times New Roman" w:hAnsi="Times New Roman" w:cs="Times New Roman"/>
          <w:sz w:val="24"/>
          <w:szCs w:val="24"/>
        </w:rPr>
        <w:t xml:space="preserve">In addition, the </w:t>
      </w:r>
      <w:r w:rsidR="00F2638C">
        <w:rPr>
          <w:rFonts w:ascii="Times New Roman" w:hAnsi="Times New Roman" w:cs="Times New Roman"/>
          <w:sz w:val="24"/>
          <w:szCs w:val="24"/>
        </w:rPr>
        <w:t xml:space="preserve">‘over-government’ </w:t>
      </w:r>
      <w:r w:rsidR="00AE292D">
        <w:rPr>
          <w:rFonts w:ascii="Times New Roman" w:hAnsi="Times New Roman" w:cs="Times New Roman"/>
          <w:sz w:val="24"/>
          <w:szCs w:val="24"/>
        </w:rPr>
        <w:t>of higher education by the Commonwealth and State a</w:t>
      </w:r>
      <w:r>
        <w:rPr>
          <w:rFonts w:ascii="Times New Roman" w:hAnsi="Times New Roman" w:cs="Times New Roman"/>
          <w:sz w:val="24"/>
          <w:szCs w:val="24"/>
        </w:rPr>
        <w:t xml:space="preserve">nd Territories, </w:t>
      </w:r>
      <w:r w:rsidR="00532A84">
        <w:rPr>
          <w:rFonts w:ascii="Times New Roman" w:hAnsi="Times New Roman" w:cs="Times New Roman"/>
          <w:sz w:val="24"/>
          <w:szCs w:val="24"/>
        </w:rPr>
        <w:t xml:space="preserve">was </w:t>
      </w:r>
      <w:r>
        <w:rPr>
          <w:rFonts w:ascii="Times New Roman" w:hAnsi="Times New Roman" w:cs="Times New Roman"/>
          <w:sz w:val="24"/>
          <w:szCs w:val="24"/>
        </w:rPr>
        <w:t xml:space="preserve">much criticised by </w:t>
      </w:r>
      <w:r w:rsidR="00F2638C">
        <w:rPr>
          <w:rFonts w:ascii="Times New Roman" w:hAnsi="Times New Roman" w:cs="Times New Roman"/>
          <w:sz w:val="24"/>
          <w:szCs w:val="24"/>
        </w:rPr>
        <w:t xml:space="preserve">universities </w:t>
      </w:r>
      <w:r>
        <w:rPr>
          <w:rFonts w:ascii="Times New Roman" w:hAnsi="Times New Roman" w:cs="Times New Roman"/>
          <w:sz w:val="24"/>
          <w:szCs w:val="24"/>
        </w:rPr>
        <w:t xml:space="preserve">as leading to </w:t>
      </w:r>
      <w:r w:rsidR="00F2638C">
        <w:rPr>
          <w:rFonts w:ascii="Times New Roman" w:hAnsi="Times New Roman" w:cs="Times New Roman"/>
          <w:sz w:val="24"/>
          <w:szCs w:val="24"/>
        </w:rPr>
        <w:t xml:space="preserve">duplication in terms of reporting.  </w:t>
      </w:r>
      <w:r w:rsidR="000E3D65">
        <w:rPr>
          <w:rFonts w:ascii="Times New Roman" w:hAnsi="Times New Roman" w:cs="Times New Roman"/>
          <w:sz w:val="24"/>
          <w:szCs w:val="24"/>
        </w:rPr>
        <w:t>Also</w:t>
      </w:r>
      <w:r>
        <w:rPr>
          <w:rFonts w:ascii="Times New Roman" w:hAnsi="Times New Roman" w:cs="Times New Roman"/>
          <w:sz w:val="24"/>
          <w:szCs w:val="24"/>
        </w:rPr>
        <w:t xml:space="preserve">, </w:t>
      </w:r>
      <w:r w:rsidR="00F2638C">
        <w:rPr>
          <w:rFonts w:ascii="Times New Roman" w:hAnsi="Times New Roman" w:cs="Times New Roman"/>
          <w:sz w:val="24"/>
          <w:szCs w:val="24"/>
        </w:rPr>
        <w:t xml:space="preserve">there were overlapping frameworks in relation to quality across the higher education and the VET sectors.  </w:t>
      </w:r>
    </w:p>
    <w:p w:rsidR="006955ED" w:rsidRPr="006955ED" w:rsidRDefault="006955ED" w:rsidP="006955ED">
      <w:pPr>
        <w:spacing w:line="360" w:lineRule="auto"/>
        <w:rPr>
          <w:rFonts w:ascii="Times New Roman" w:hAnsi="Times New Roman" w:cs="Times New Roman"/>
          <w:sz w:val="24"/>
          <w:szCs w:val="24"/>
        </w:rPr>
      </w:pPr>
      <w:r>
        <w:rPr>
          <w:rFonts w:ascii="Times New Roman" w:hAnsi="Times New Roman" w:cs="Times New Roman"/>
          <w:sz w:val="24"/>
          <w:szCs w:val="24"/>
        </w:rPr>
        <w:t>In 2011, Australia had 44 self-accrediting high</w:t>
      </w:r>
      <w:r w:rsidR="00CE68C1">
        <w:rPr>
          <w:rFonts w:ascii="Times New Roman" w:hAnsi="Times New Roman" w:cs="Times New Roman"/>
          <w:sz w:val="24"/>
          <w:szCs w:val="24"/>
        </w:rPr>
        <w:t xml:space="preserve">er education providers:  </w:t>
      </w:r>
      <w:r>
        <w:rPr>
          <w:rFonts w:ascii="Times New Roman" w:hAnsi="Times New Roman" w:cs="Times New Roman"/>
          <w:sz w:val="24"/>
          <w:szCs w:val="24"/>
        </w:rPr>
        <w:t xml:space="preserve">37 public universities, 2 private </w:t>
      </w:r>
      <w:r w:rsidR="00CE68C1">
        <w:rPr>
          <w:rFonts w:ascii="Times New Roman" w:hAnsi="Times New Roman" w:cs="Times New Roman"/>
          <w:sz w:val="24"/>
          <w:szCs w:val="24"/>
        </w:rPr>
        <w:t xml:space="preserve">universities, </w:t>
      </w:r>
      <w:r>
        <w:rPr>
          <w:rFonts w:ascii="Times New Roman" w:hAnsi="Times New Roman" w:cs="Times New Roman"/>
          <w:sz w:val="24"/>
          <w:szCs w:val="24"/>
        </w:rPr>
        <w:t>one Australian branch of a</w:t>
      </w:r>
      <w:r w:rsidR="00532A84">
        <w:rPr>
          <w:rFonts w:ascii="Times New Roman" w:hAnsi="Times New Roman" w:cs="Times New Roman"/>
          <w:sz w:val="24"/>
          <w:szCs w:val="24"/>
        </w:rPr>
        <w:t>n overseas university</w:t>
      </w:r>
      <w:r w:rsidR="00CE68C1">
        <w:rPr>
          <w:rFonts w:ascii="Times New Roman" w:hAnsi="Times New Roman" w:cs="Times New Roman"/>
          <w:sz w:val="24"/>
          <w:szCs w:val="24"/>
        </w:rPr>
        <w:t>, and</w:t>
      </w:r>
      <w:r>
        <w:rPr>
          <w:rFonts w:ascii="Times New Roman" w:hAnsi="Times New Roman" w:cs="Times New Roman"/>
          <w:sz w:val="24"/>
          <w:szCs w:val="24"/>
        </w:rPr>
        <w:t xml:space="preserve"> four othe</w:t>
      </w:r>
      <w:r w:rsidR="00532A84">
        <w:rPr>
          <w:rFonts w:ascii="Times New Roman" w:hAnsi="Times New Roman" w:cs="Times New Roman"/>
          <w:sz w:val="24"/>
          <w:szCs w:val="24"/>
        </w:rPr>
        <w:t xml:space="preserve">r self-accrediting institutions, </w:t>
      </w:r>
      <w:r>
        <w:rPr>
          <w:rFonts w:ascii="Times New Roman" w:hAnsi="Times New Roman" w:cs="Times New Roman"/>
          <w:sz w:val="24"/>
          <w:szCs w:val="24"/>
        </w:rPr>
        <w:t>not universities, including the Bachelor Institute of Indigen</w:t>
      </w:r>
      <w:r w:rsidR="00532A84">
        <w:rPr>
          <w:rFonts w:ascii="Times New Roman" w:hAnsi="Times New Roman" w:cs="Times New Roman"/>
          <w:sz w:val="24"/>
          <w:szCs w:val="24"/>
        </w:rPr>
        <w:t>ous Tertiary Education.  There we</w:t>
      </w:r>
      <w:r>
        <w:rPr>
          <w:rFonts w:ascii="Times New Roman" w:hAnsi="Times New Roman" w:cs="Times New Roman"/>
          <w:sz w:val="24"/>
          <w:szCs w:val="24"/>
        </w:rPr>
        <w:t xml:space="preserve">re 150 non-self-accrediting </w:t>
      </w:r>
      <w:r w:rsidR="00532A84">
        <w:rPr>
          <w:rFonts w:ascii="Times New Roman" w:hAnsi="Times New Roman" w:cs="Times New Roman"/>
          <w:sz w:val="24"/>
          <w:szCs w:val="24"/>
        </w:rPr>
        <w:t>providers, about half of which we</w:t>
      </w:r>
      <w:r>
        <w:rPr>
          <w:rFonts w:ascii="Times New Roman" w:hAnsi="Times New Roman" w:cs="Times New Roman"/>
          <w:sz w:val="24"/>
          <w:szCs w:val="24"/>
        </w:rPr>
        <w:t xml:space="preserve">re approved under the (CTH) </w:t>
      </w:r>
      <w:r>
        <w:rPr>
          <w:rFonts w:ascii="Times New Roman" w:hAnsi="Times New Roman" w:cs="Times New Roman"/>
          <w:i/>
          <w:sz w:val="24"/>
          <w:szCs w:val="24"/>
        </w:rPr>
        <w:t>H</w:t>
      </w:r>
      <w:r w:rsidR="000E3D65">
        <w:rPr>
          <w:rFonts w:ascii="Times New Roman" w:hAnsi="Times New Roman" w:cs="Times New Roman"/>
          <w:i/>
          <w:sz w:val="24"/>
          <w:szCs w:val="24"/>
        </w:rPr>
        <w:t>igher Education Support Act</w:t>
      </w:r>
      <w:r>
        <w:rPr>
          <w:rFonts w:ascii="Times New Roman" w:hAnsi="Times New Roman" w:cs="Times New Roman"/>
          <w:i/>
          <w:sz w:val="24"/>
          <w:szCs w:val="24"/>
        </w:rPr>
        <w:t xml:space="preserve"> 2003</w:t>
      </w:r>
      <w:r>
        <w:rPr>
          <w:rFonts w:ascii="Times New Roman" w:hAnsi="Times New Roman" w:cs="Times New Roman"/>
          <w:sz w:val="24"/>
          <w:szCs w:val="24"/>
        </w:rPr>
        <w:t xml:space="preserve"> to provide Commonwealth supported places and student fee help, under the HELP program.</w:t>
      </w:r>
      <w:r>
        <w:rPr>
          <w:rStyle w:val="FootnoteReference"/>
          <w:sz w:val="24"/>
          <w:szCs w:val="24"/>
        </w:rPr>
        <w:footnoteReference w:id="19"/>
      </w:r>
      <w:r w:rsidR="00CE68C1">
        <w:rPr>
          <w:rFonts w:ascii="Times New Roman" w:hAnsi="Times New Roman" w:cs="Times New Roman"/>
          <w:sz w:val="24"/>
          <w:szCs w:val="24"/>
        </w:rPr>
        <w:t xml:space="preserve"> </w:t>
      </w:r>
    </w:p>
    <w:p w:rsidR="00F7016A" w:rsidRPr="00B6620A" w:rsidRDefault="00A00A26" w:rsidP="002E281B">
      <w:pPr>
        <w:spacing w:line="360" w:lineRule="auto"/>
        <w:rPr>
          <w:rFonts w:ascii="Times New Roman" w:hAnsi="Times New Roman" w:cs="Times New Roman"/>
          <w:sz w:val="24"/>
          <w:szCs w:val="24"/>
        </w:rPr>
      </w:pPr>
      <w:r>
        <w:rPr>
          <w:rFonts w:ascii="Times New Roman" w:hAnsi="Times New Roman" w:cs="Times New Roman"/>
          <w:sz w:val="24"/>
          <w:szCs w:val="24"/>
        </w:rPr>
        <w:t>I</w:t>
      </w:r>
      <w:r w:rsidR="00D95E2F" w:rsidRPr="00B6620A">
        <w:rPr>
          <w:rFonts w:ascii="Times New Roman" w:hAnsi="Times New Roman" w:cs="Times New Roman"/>
          <w:sz w:val="24"/>
          <w:szCs w:val="24"/>
        </w:rPr>
        <w:t>n terms of research, t</w:t>
      </w:r>
      <w:r w:rsidR="00F7016A" w:rsidRPr="00B6620A">
        <w:rPr>
          <w:rFonts w:ascii="Times New Roman" w:hAnsi="Times New Roman" w:cs="Times New Roman"/>
          <w:sz w:val="24"/>
          <w:szCs w:val="24"/>
        </w:rPr>
        <w:t>he Australian Research Council</w:t>
      </w:r>
      <w:r w:rsidR="00CE68C1">
        <w:rPr>
          <w:rFonts w:ascii="Times New Roman" w:hAnsi="Times New Roman" w:cs="Times New Roman"/>
          <w:sz w:val="24"/>
          <w:szCs w:val="24"/>
        </w:rPr>
        <w:t xml:space="preserve"> (ARC)</w:t>
      </w:r>
      <w:r w:rsidR="00F7016A" w:rsidRPr="00B6620A">
        <w:rPr>
          <w:rFonts w:ascii="Times New Roman" w:hAnsi="Times New Roman" w:cs="Times New Roman"/>
          <w:sz w:val="24"/>
          <w:szCs w:val="24"/>
        </w:rPr>
        <w:t>, established under Commonwealth legislation, is responsible for making recommendations to the Federal Minister in relatio</w:t>
      </w:r>
      <w:r>
        <w:rPr>
          <w:rFonts w:ascii="Times New Roman" w:hAnsi="Times New Roman" w:cs="Times New Roman"/>
          <w:sz w:val="24"/>
          <w:szCs w:val="24"/>
        </w:rPr>
        <w:t xml:space="preserve">n to the financing of </w:t>
      </w:r>
      <w:r w:rsidR="00F7016A" w:rsidRPr="00B6620A">
        <w:rPr>
          <w:rFonts w:ascii="Times New Roman" w:hAnsi="Times New Roman" w:cs="Times New Roman"/>
          <w:sz w:val="24"/>
          <w:szCs w:val="24"/>
        </w:rPr>
        <w:t>proposals.</w:t>
      </w:r>
      <w:r w:rsidR="00D475B4" w:rsidRPr="00B6620A">
        <w:rPr>
          <w:rFonts w:ascii="Times New Roman" w:hAnsi="Times New Roman" w:cs="Times New Roman"/>
          <w:sz w:val="24"/>
          <w:szCs w:val="24"/>
        </w:rPr>
        <w:t xml:space="preserve">  </w:t>
      </w:r>
      <w:r w:rsidR="00532A84">
        <w:rPr>
          <w:rFonts w:ascii="Times New Roman" w:hAnsi="Times New Roman" w:cs="Times New Roman"/>
          <w:sz w:val="24"/>
          <w:szCs w:val="24"/>
        </w:rPr>
        <w:t xml:space="preserve">It </w:t>
      </w:r>
      <w:r w:rsidR="00480C60">
        <w:rPr>
          <w:rFonts w:ascii="Times New Roman" w:hAnsi="Times New Roman" w:cs="Times New Roman"/>
          <w:sz w:val="24"/>
          <w:szCs w:val="24"/>
        </w:rPr>
        <w:t>is the ARC that, since 20</w:t>
      </w:r>
      <w:r w:rsidR="00361C1B" w:rsidRPr="00B6620A">
        <w:rPr>
          <w:rFonts w:ascii="Times New Roman" w:hAnsi="Times New Roman" w:cs="Times New Roman"/>
          <w:sz w:val="24"/>
          <w:szCs w:val="24"/>
        </w:rPr>
        <w:t>08, has had responsibility for administering the Excellence in Research Australia</w:t>
      </w:r>
      <w:r>
        <w:rPr>
          <w:rFonts w:ascii="Times New Roman" w:hAnsi="Times New Roman" w:cs="Times New Roman"/>
          <w:sz w:val="24"/>
          <w:szCs w:val="24"/>
        </w:rPr>
        <w:t xml:space="preserve"> policy (ERA) which is aimed at allocating funding to universities based on their research outp</w:t>
      </w:r>
      <w:r w:rsidR="00532A84">
        <w:rPr>
          <w:rFonts w:ascii="Times New Roman" w:hAnsi="Times New Roman" w:cs="Times New Roman"/>
          <w:sz w:val="24"/>
          <w:szCs w:val="24"/>
        </w:rPr>
        <w:t>ut and impact (the ERA is discussed later)</w:t>
      </w:r>
      <w:r>
        <w:rPr>
          <w:rFonts w:ascii="Times New Roman" w:hAnsi="Times New Roman" w:cs="Times New Roman"/>
          <w:sz w:val="24"/>
          <w:szCs w:val="24"/>
        </w:rPr>
        <w:t xml:space="preserve">. </w:t>
      </w:r>
    </w:p>
    <w:p w:rsidR="00480C60" w:rsidRPr="00480C60" w:rsidRDefault="00480C60" w:rsidP="002E281B">
      <w:pPr>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Mounting criticism of the system led the Commonwealth Government to institute a series of reviews. </w:t>
      </w:r>
    </w:p>
    <w:p w:rsidR="00801175" w:rsidRDefault="00814390" w:rsidP="002E281B">
      <w:pPr>
        <w:spacing w:line="360" w:lineRule="auto"/>
        <w:rPr>
          <w:rFonts w:ascii="Times New Roman" w:hAnsi="Times New Roman" w:cs="Times New Roman"/>
          <w:b/>
          <w:bCs/>
          <w:sz w:val="24"/>
          <w:szCs w:val="24"/>
        </w:rPr>
      </w:pPr>
      <w:r>
        <w:rPr>
          <w:rFonts w:ascii="Times New Roman" w:hAnsi="Times New Roman" w:cs="Times New Roman"/>
          <w:b/>
          <w:bCs/>
          <w:sz w:val="24"/>
          <w:szCs w:val="24"/>
        </w:rPr>
        <w:t>The Path to Quality Assurance</w:t>
      </w:r>
      <w:r w:rsidR="00801175">
        <w:rPr>
          <w:rFonts w:ascii="Times New Roman" w:hAnsi="Times New Roman" w:cs="Times New Roman"/>
          <w:b/>
          <w:bCs/>
          <w:sz w:val="24"/>
          <w:szCs w:val="24"/>
        </w:rPr>
        <w:t xml:space="preserve"> – The Reviews</w:t>
      </w:r>
    </w:p>
    <w:p w:rsidR="00801175" w:rsidRPr="00C21633" w:rsidRDefault="00801175" w:rsidP="002E281B">
      <w:pPr>
        <w:spacing w:line="360" w:lineRule="auto"/>
        <w:rPr>
          <w:rFonts w:ascii="Times New Roman" w:hAnsi="Times New Roman" w:cs="Times New Roman"/>
          <w:bCs/>
          <w:sz w:val="24"/>
          <w:szCs w:val="24"/>
        </w:rPr>
      </w:pPr>
      <w:r>
        <w:rPr>
          <w:rFonts w:ascii="Times New Roman" w:hAnsi="Times New Roman" w:cs="Times New Roman"/>
          <w:bCs/>
          <w:sz w:val="24"/>
          <w:szCs w:val="24"/>
        </w:rPr>
        <w:t>In the past few years, the provision of tertiary education in Australia has, it could been said, been review</w:t>
      </w:r>
      <w:r w:rsidR="00A00A26">
        <w:rPr>
          <w:rFonts w:ascii="Times New Roman" w:hAnsi="Times New Roman" w:cs="Times New Roman"/>
          <w:bCs/>
          <w:sz w:val="24"/>
          <w:szCs w:val="24"/>
        </w:rPr>
        <w:t>ed</w:t>
      </w:r>
      <w:r>
        <w:rPr>
          <w:rFonts w:ascii="Times New Roman" w:hAnsi="Times New Roman" w:cs="Times New Roman"/>
          <w:bCs/>
          <w:sz w:val="24"/>
          <w:szCs w:val="24"/>
        </w:rPr>
        <w:t xml:space="preserve"> ‘within an inch of its life’.</w:t>
      </w:r>
      <w:r w:rsidR="006C67CE">
        <w:rPr>
          <w:rFonts w:ascii="Times New Roman" w:hAnsi="Times New Roman" w:cs="Times New Roman"/>
          <w:b/>
          <w:bCs/>
          <w:sz w:val="24"/>
          <w:szCs w:val="24"/>
        </w:rPr>
        <w:t xml:space="preserve">  </w:t>
      </w:r>
      <w:r w:rsidR="00A00A26">
        <w:rPr>
          <w:rFonts w:ascii="Times New Roman" w:hAnsi="Times New Roman" w:cs="Times New Roman"/>
          <w:bCs/>
          <w:sz w:val="24"/>
          <w:szCs w:val="24"/>
        </w:rPr>
        <w:t>T</w:t>
      </w:r>
      <w:r>
        <w:rPr>
          <w:rFonts w:ascii="Times New Roman" w:hAnsi="Times New Roman" w:cs="Times New Roman"/>
          <w:bCs/>
          <w:sz w:val="24"/>
          <w:szCs w:val="24"/>
        </w:rPr>
        <w:t xml:space="preserve">hree major reviews </w:t>
      </w:r>
      <w:r w:rsidR="00A00A26">
        <w:rPr>
          <w:rFonts w:ascii="Times New Roman" w:hAnsi="Times New Roman" w:cs="Times New Roman"/>
          <w:bCs/>
          <w:sz w:val="24"/>
          <w:szCs w:val="24"/>
        </w:rPr>
        <w:t xml:space="preserve">have led to massive innovations </w:t>
      </w:r>
      <w:r w:rsidR="00480C60">
        <w:rPr>
          <w:rFonts w:ascii="Times New Roman" w:hAnsi="Times New Roman" w:cs="Times New Roman"/>
          <w:bCs/>
          <w:sz w:val="24"/>
          <w:szCs w:val="24"/>
        </w:rPr>
        <w:t xml:space="preserve">in the sector, leaving </w:t>
      </w:r>
      <w:r w:rsidR="00A00A26">
        <w:rPr>
          <w:rFonts w:ascii="Times New Roman" w:hAnsi="Times New Roman" w:cs="Times New Roman"/>
          <w:bCs/>
          <w:sz w:val="24"/>
          <w:szCs w:val="24"/>
        </w:rPr>
        <w:t xml:space="preserve">both providers and bureaucrats </w:t>
      </w:r>
      <w:r w:rsidR="00480C60">
        <w:rPr>
          <w:rFonts w:ascii="Times New Roman" w:hAnsi="Times New Roman" w:cs="Times New Roman"/>
          <w:bCs/>
          <w:sz w:val="24"/>
          <w:szCs w:val="24"/>
        </w:rPr>
        <w:t xml:space="preserve">grappling with the </w:t>
      </w:r>
      <w:r w:rsidR="00A00A26">
        <w:rPr>
          <w:rFonts w:ascii="Times New Roman" w:hAnsi="Times New Roman" w:cs="Times New Roman"/>
          <w:bCs/>
          <w:sz w:val="24"/>
          <w:szCs w:val="24"/>
        </w:rPr>
        <w:t>changes.</w:t>
      </w:r>
      <w:r w:rsidR="00DF622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32A84" w:rsidRPr="00DF622C">
        <w:rPr>
          <w:rFonts w:ascii="Times New Roman" w:hAnsi="Times New Roman" w:cs="Times New Roman"/>
          <w:sz w:val="24"/>
          <w:szCs w:val="24"/>
        </w:rPr>
        <w:t xml:space="preserve">In the words of Dr Carol </w:t>
      </w:r>
      <w:proofErr w:type="spellStart"/>
      <w:r w:rsidR="00532A84" w:rsidRPr="00DF622C">
        <w:rPr>
          <w:rFonts w:ascii="Times New Roman" w:hAnsi="Times New Roman" w:cs="Times New Roman"/>
          <w:sz w:val="24"/>
          <w:szCs w:val="24"/>
        </w:rPr>
        <w:t>Nicholl</w:t>
      </w:r>
      <w:proofErr w:type="spellEnd"/>
      <w:r w:rsidR="00532A84" w:rsidRPr="00DF622C">
        <w:rPr>
          <w:rFonts w:ascii="Times New Roman" w:hAnsi="Times New Roman" w:cs="Times New Roman"/>
          <w:sz w:val="24"/>
          <w:szCs w:val="24"/>
        </w:rPr>
        <w:t xml:space="preserve">, Chief Commissioner for </w:t>
      </w:r>
      <w:r w:rsidR="00DF622C" w:rsidRPr="00DF622C">
        <w:rPr>
          <w:rFonts w:ascii="Times New Roman" w:hAnsi="Times New Roman" w:cs="Times New Roman"/>
          <w:sz w:val="24"/>
          <w:szCs w:val="24"/>
        </w:rPr>
        <w:t>the Tertiary Education Quality and Standards Agency (</w:t>
      </w:r>
      <w:r w:rsidR="00A34A3A" w:rsidRPr="00DF622C">
        <w:rPr>
          <w:rFonts w:ascii="Times New Roman" w:hAnsi="Times New Roman" w:cs="Times New Roman"/>
          <w:sz w:val="24"/>
          <w:szCs w:val="24"/>
        </w:rPr>
        <w:t>TEQSA</w:t>
      </w:r>
      <w:r w:rsidR="00DF622C" w:rsidRPr="00DF622C">
        <w:rPr>
          <w:rFonts w:ascii="Times New Roman" w:hAnsi="Times New Roman" w:cs="Times New Roman"/>
          <w:sz w:val="24"/>
          <w:szCs w:val="24"/>
        </w:rPr>
        <w:t>)</w:t>
      </w:r>
      <w:r w:rsidR="00A34A3A" w:rsidRPr="00DF622C">
        <w:rPr>
          <w:rFonts w:ascii="Times New Roman" w:hAnsi="Times New Roman" w:cs="Times New Roman"/>
          <w:sz w:val="24"/>
          <w:szCs w:val="24"/>
        </w:rPr>
        <w:t xml:space="preserve">, </w:t>
      </w:r>
      <w:r w:rsidR="00DF622C" w:rsidRPr="00DF622C">
        <w:rPr>
          <w:rFonts w:ascii="Times New Roman" w:hAnsi="Times New Roman" w:cs="Times New Roman"/>
          <w:sz w:val="24"/>
          <w:szCs w:val="24"/>
        </w:rPr>
        <w:t xml:space="preserve"> </w:t>
      </w:r>
      <w:r w:rsidR="00532A84" w:rsidRPr="00DF622C">
        <w:rPr>
          <w:rFonts w:ascii="Times New Roman" w:hAnsi="Times New Roman" w:cs="Times New Roman"/>
          <w:sz w:val="24"/>
          <w:szCs w:val="24"/>
        </w:rPr>
        <w:t xml:space="preserve">the new </w:t>
      </w:r>
      <w:r w:rsidR="00A34A3A" w:rsidRPr="00DF622C">
        <w:rPr>
          <w:rFonts w:ascii="Times New Roman" w:hAnsi="Times New Roman" w:cs="Times New Roman"/>
          <w:sz w:val="24"/>
          <w:szCs w:val="24"/>
        </w:rPr>
        <w:t xml:space="preserve">national </w:t>
      </w:r>
      <w:r w:rsidR="00DF622C" w:rsidRPr="00DF622C">
        <w:rPr>
          <w:rFonts w:ascii="Times New Roman" w:hAnsi="Times New Roman" w:cs="Times New Roman"/>
          <w:sz w:val="24"/>
          <w:szCs w:val="24"/>
        </w:rPr>
        <w:t>regulator</w:t>
      </w:r>
      <w:r w:rsidR="00A34A3A" w:rsidRPr="00DF622C">
        <w:rPr>
          <w:rFonts w:ascii="Times New Roman" w:hAnsi="Times New Roman" w:cs="Times New Roman"/>
          <w:sz w:val="24"/>
          <w:szCs w:val="24"/>
        </w:rPr>
        <w:t>: ‘W</w:t>
      </w:r>
      <w:r w:rsidR="00532A84" w:rsidRPr="00DF622C">
        <w:rPr>
          <w:rFonts w:ascii="Times New Roman" w:hAnsi="Times New Roman" w:cs="Times New Roman"/>
          <w:sz w:val="24"/>
          <w:szCs w:val="24"/>
        </w:rPr>
        <w:t>e are building the plane as we are flying it’.</w:t>
      </w:r>
      <w:r w:rsidR="00DF622C">
        <w:rPr>
          <w:rStyle w:val="FootnoteReference"/>
          <w:bCs/>
          <w:sz w:val="24"/>
          <w:szCs w:val="24"/>
        </w:rPr>
        <w:footnoteReference w:id="20"/>
      </w:r>
      <w:r w:rsidR="00C21633">
        <w:rPr>
          <w:rFonts w:ascii="Times New Roman" w:hAnsi="Times New Roman" w:cs="Times New Roman"/>
        </w:rPr>
        <w:t xml:space="preserve">  </w:t>
      </w:r>
      <w:r w:rsidR="00C21633">
        <w:rPr>
          <w:rFonts w:ascii="Times New Roman" w:hAnsi="Times New Roman" w:cs="Times New Roman"/>
          <w:sz w:val="24"/>
          <w:szCs w:val="24"/>
        </w:rPr>
        <w:t xml:space="preserve"> A fourth</w:t>
      </w:r>
      <w:r w:rsidR="00DF622C">
        <w:rPr>
          <w:rFonts w:ascii="Times New Roman" w:hAnsi="Times New Roman" w:cs="Times New Roman"/>
          <w:sz w:val="24"/>
          <w:szCs w:val="24"/>
        </w:rPr>
        <w:t xml:space="preserve"> review, that of</w:t>
      </w:r>
      <w:r w:rsidR="00C21633">
        <w:rPr>
          <w:rFonts w:ascii="Times New Roman" w:hAnsi="Times New Roman" w:cs="Times New Roman"/>
          <w:sz w:val="24"/>
          <w:szCs w:val="24"/>
        </w:rPr>
        <w:t xml:space="preserve"> </w:t>
      </w:r>
      <w:r w:rsidR="00DF622C">
        <w:rPr>
          <w:rFonts w:ascii="Times New Roman" w:hAnsi="Times New Roman" w:cs="Times New Roman"/>
          <w:sz w:val="24"/>
          <w:szCs w:val="24"/>
        </w:rPr>
        <w:t>base funding</w:t>
      </w:r>
      <w:r w:rsidR="00C21633" w:rsidRPr="00B551FF">
        <w:rPr>
          <w:rFonts w:ascii="Times New Roman" w:hAnsi="Times New Roman" w:cs="Times New Roman"/>
          <w:sz w:val="24"/>
          <w:szCs w:val="24"/>
        </w:rPr>
        <w:t>,</w:t>
      </w:r>
      <w:r w:rsidR="00C21633">
        <w:rPr>
          <w:rFonts w:ascii="Times New Roman" w:hAnsi="Times New Roman" w:cs="Times New Roman"/>
          <w:sz w:val="24"/>
          <w:szCs w:val="24"/>
        </w:rPr>
        <w:t xml:space="preserve"> </w:t>
      </w:r>
      <w:r w:rsidR="00DF622C">
        <w:rPr>
          <w:rFonts w:ascii="Times New Roman" w:hAnsi="Times New Roman" w:cs="Times New Roman"/>
          <w:sz w:val="24"/>
          <w:szCs w:val="24"/>
        </w:rPr>
        <w:t xml:space="preserve">has been concluded but </w:t>
      </w:r>
      <w:r w:rsidR="00C21633">
        <w:rPr>
          <w:rFonts w:ascii="Times New Roman" w:hAnsi="Times New Roman" w:cs="Times New Roman"/>
          <w:sz w:val="24"/>
          <w:szCs w:val="24"/>
        </w:rPr>
        <w:t>is yet to be implemented and the Government has announced its intention to move on this before the end of the year.</w:t>
      </w:r>
      <w:r w:rsidR="00C21633">
        <w:rPr>
          <w:rStyle w:val="FootnoteReference"/>
          <w:sz w:val="24"/>
          <w:szCs w:val="24"/>
        </w:rPr>
        <w:footnoteReference w:id="21"/>
      </w:r>
    </w:p>
    <w:p w:rsidR="00C74E89" w:rsidRDefault="00A00A26" w:rsidP="00CF45D4">
      <w:pPr>
        <w:pStyle w:val="FootnoteText"/>
        <w:spacing w:line="360" w:lineRule="auto"/>
        <w:rPr>
          <w:rFonts w:ascii="Times New Roman" w:hAnsi="Times New Roman" w:cs="Times New Roman"/>
          <w:bCs/>
          <w:sz w:val="24"/>
          <w:szCs w:val="24"/>
        </w:rPr>
      </w:pPr>
      <w:r>
        <w:rPr>
          <w:rFonts w:ascii="Times New Roman" w:hAnsi="Times New Roman" w:cs="Times New Roman"/>
          <w:bCs/>
          <w:sz w:val="24"/>
          <w:szCs w:val="24"/>
        </w:rPr>
        <w:t>The first</w:t>
      </w:r>
      <w:r w:rsidR="009D520F">
        <w:rPr>
          <w:rFonts w:ascii="Times New Roman" w:hAnsi="Times New Roman" w:cs="Times New Roman"/>
          <w:bCs/>
          <w:sz w:val="24"/>
          <w:szCs w:val="24"/>
        </w:rPr>
        <w:t xml:space="preserve"> review</w:t>
      </w:r>
      <w:r>
        <w:rPr>
          <w:rFonts w:ascii="Times New Roman" w:hAnsi="Times New Roman" w:cs="Times New Roman"/>
          <w:bCs/>
          <w:sz w:val="24"/>
          <w:szCs w:val="24"/>
        </w:rPr>
        <w:t>, with the most wide-ranging terms of reference and the potential for</w:t>
      </w:r>
      <w:r w:rsidR="001F30BC">
        <w:rPr>
          <w:rFonts w:ascii="Times New Roman" w:hAnsi="Times New Roman" w:cs="Times New Roman"/>
          <w:bCs/>
          <w:sz w:val="24"/>
          <w:szCs w:val="24"/>
        </w:rPr>
        <w:t xml:space="preserve"> major impact</w:t>
      </w:r>
      <w:r>
        <w:rPr>
          <w:rFonts w:ascii="Times New Roman" w:hAnsi="Times New Roman" w:cs="Times New Roman"/>
          <w:bCs/>
          <w:sz w:val="24"/>
          <w:szCs w:val="24"/>
        </w:rPr>
        <w:t xml:space="preserve">, was the </w:t>
      </w:r>
      <w:r w:rsidRPr="00A00A26">
        <w:rPr>
          <w:rFonts w:ascii="Times New Roman" w:hAnsi="Times New Roman" w:cs="Times New Roman"/>
          <w:bCs/>
          <w:i/>
          <w:sz w:val="24"/>
          <w:szCs w:val="24"/>
        </w:rPr>
        <w:t>Bradley Review into Tertiary Education</w:t>
      </w:r>
      <w:r>
        <w:rPr>
          <w:rFonts w:ascii="Times New Roman" w:hAnsi="Times New Roman" w:cs="Times New Roman"/>
          <w:bCs/>
          <w:sz w:val="24"/>
          <w:szCs w:val="24"/>
        </w:rPr>
        <w:t>.</w:t>
      </w:r>
      <w:r>
        <w:rPr>
          <w:rStyle w:val="FootnoteReference"/>
          <w:bCs/>
          <w:sz w:val="24"/>
          <w:szCs w:val="24"/>
        </w:rPr>
        <w:footnoteReference w:id="22"/>
      </w:r>
      <w:r w:rsidR="00814390">
        <w:rPr>
          <w:rFonts w:ascii="Times New Roman" w:hAnsi="Times New Roman" w:cs="Times New Roman"/>
          <w:bCs/>
          <w:sz w:val="24"/>
          <w:szCs w:val="24"/>
        </w:rPr>
        <w:t xml:space="preserve"> </w:t>
      </w:r>
      <w:r>
        <w:rPr>
          <w:rFonts w:ascii="Times New Roman" w:hAnsi="Times New Roman" w:cs="Times New Roman"/>
          <w:bCs/>
          <w:sz w:val="24"/>
          <w:szCs w:val="24"/>
        </w:rPr>
        <w:t xml:space="preserve">This review </w:t>
      </w:r>
      <w:r w:rsidR="001F30BC">
        <w:rPr>
          <w:rFonts w:ascii="Times New Roman" w:hAnsi="Times New Roman" w:cs="Times New Roman"/>
          <w:bCs/>
          <w:sz w:val="24"/>
          <w:szCs w:val="24"/>
        </w:rPr>
        <w:t xml:space="preserve">was commissioned by the </w:t>
      </w:r>
      <w:r w:rsidR="00A34A3A">
        <w:rPr>
          <w:rFonts w:ascii="Times New Roman" w:hAnsi="Times New Roman" w:cs="Times New Roman"/>
          <w:bCs/>
          <w:sz w:val="24"/>
          <w:szCs w:val="24"/>
        </w:rPr>
        <w:t>Commonwealth Government in 2009, charged with considering</w:t>
      </w:r>
      <w:r w:rsidR="00C104C8">
        <w:rPr>
          <w:rFonts w:ascii="Times New Roman" w:hAnsi="Times New Roman" w:cs="Times New Roman"/>
          <w:bCs/>
          <w:sz w:val="24"/>
          <w:szCs w:val="24"/>
        </w:rPr>
        <w:t xml:space="preserve"> the fundamental question</w:t>
      </w:r>
      <w:r w:rsidR="00A34A3A">
        <w:rPr>
          <w:rFonts w:ascii="Times New Roman" w:hAnsi="Times New Roman" w:cs="Times New Roman"/>
          <w:bCs/>
          <w:sz w:val="24"/>
          <w:szCs w:val="24"/>
        </w:rPr>
        <w:t>: is</w:t>
      </w:r>
      <w:r w:rsidR="00C104C8">
        <w:rPr>
          <w:rFonts w:ascii="Times New Roman" w:hAnsi="Times New Roman" w:cs="Times New Roman"/>
          <w:bCs/>
          <w:sz w:val="24"/>
          <w:szCs w:val="24"/>
        </w:rPr>
        <w:t xml:space="preserve"> the Austral</w:t>
      </w:r>
      <w:r w:rsidR="00A34A3A">
        <w:rPr>
          <w:rFonts w:ascii="Times New Roman" w:hAnsi="Times New Roman" w:cs="Times New Roman"/>
          <w:bCs/>
          <w:sz w:val="24"/>
          <w:szCs w:val="24"/>
        </w:rPr>
        <w:t xml:space="preserve">ian higher education sector </w:t>
      </w:r>
      <w:r w:rsidR="00C104C8">
        <w:rPr>
          <w:rFonts w:ascii="Times New Roman" w:hAnsi="Times New Roman" w:cs="Times New Roman"/>
          <w:bCs/>
          <w:sz w:val="24"/>
          <w:szCs w:val="24"/>
        </w:rPr>
        <w:t>appropriately structured and financed to allow the country to ‘compete e</w:t>
      </w:r>
      <w:r w:rsidR="00A34A3A">
        <w:rPr>
          <w:rFonts w:ascii="Times New Roman" w:hAnsi="Times New Roman" w:cs="Times New Roman"/>
          <w:bCs/>
          <w:sz w:val="24"/>
          <w:szCs w:val="24"/>
        </w:rPr>
        <w:t>ffectively in a global economy’?</w:t>
      </w:r>
      <w:r w:rsidR="00C104C8">
        <w:rPr>
          <w:rFonts w:ascii="Times New Roman" w:hAnsi="Times New Roman" w:cs="Times New Roman"/>
          <w:bCs/>
          <w:sz w:val="24"/>
          <w:szCs w:val="24"/>
        </w:rPr>
        <w:t xml:space="preserve">  </w:t>
      </w:r>
      <w:r w:rsidR="00A34A3A">
        <w:rPr>
          <w:rFonts w:ascii="Times New Roman" w:hAnsi="Times New Roman" w:cs="Times New Roman"/>
          <w:bCs/>
          <w:sz w:val="24"/>
          <w:szCs w:val="24"/>
        </w:rPr>
        <w:t xml:space="preserve">This aim </w:t>
      </w:r>
      <w:r w:rsidR="00C104C8">
        <w:rPr>
          <w:rFonts w:ascii="Times New Roman" w:hAnsi="Times New Roman" w:cs="Times New Roman"/>
          <w:bCs/>
          <w:sz w:val="24"/>
          <w:szCs w:val="24"/>
        </w:rPr>
        <w:t xml:space="preserve">necessitated </w:t>
      </w:r>
      <w:r w:rsidR="00A34A3A">
        <w:rPr>
          <w:rFonts w:ascii="Times New Roman" w:hAnsi="Times New Roman" w:cs="Times New Roman"/>
          <w:bCs/>
          <w:sz w:val="24"/>
          <w:szCs w:val="24"/>
        </w:rPr>
        <w:t>a thorough and wide-ranging</w:t>
      </w:r>
      <w:r w:rsidR="008F1AE2">
        <w:rPr>
          <w:rFonts w:ascii="Times New Roman" w:hAnsi="Times New Roman" w:cs="Times New Roman"/>
          <w:bCs/>
          <w:sz w:val="24"/>
          <w:szCs w:val="24"/>
        </w:rPr>
        <w:t xml:space="preserve"> </w:t>
      </w:r>
      <w:r w:rsidR="00C104C8">
        <w:rPr>
          <w:rFonts w:ascii="Times New Roman" w:hAnsi="Times New Roman" w:cs="Times New Roman"/>
          <w:bCs/>
          <w:sz w:val="24"/>
          <w:szCs w:val="24"/>
        </w:rPr>
        <w:t xml:space="preserve">investigation of </w:t>
      </w:r>
      <w:r w:rsidR="00814390">
        <w:rPr>
          <w:rFonts w:ascii="Times New Roman" w:hAnsi="Times New Roman" w:cs="Times New Roman"/>
          <w:bCs/>
          <w:sz w:val="24"/>
          <w:szCs w:val="24"/>
        </w:rPr>
        <w:t>the whole tertiary sector, f</w:t>
      </w:r>
      <w:r w:rsidR="00A34A3A">
        <w:rPr>
          <w:rFonts w:ascii="Times New Roman" w:hAnsi="Times New Roman" w:cs="Times New Roman"/>
          <w:bCs/>
          <w:sz w:val="24"/>
          <w:szCs w:val="24"/>
        </w:rPr>
        <w:t>undamentally to consider how</w:t>
      </w:r>
      <w:r w:rsidR="008F1AE2">
        <w:rPr>
          <w:rFonts w:ascii="Times New Roman" w:hAnsi="Times New Roman" w:cs="Times New Roman"/>
          <w:bCs/>
          <w:sz w:val="24"/>
          <w:szCs w:val="24"/>
        </w:rPr>
        <w:t xml:space="preserve"> best to ensure a high standard of quality across the sector, and to provide funding certainty in terms of both tea</w:t>
      </w:r>
      <w:r w:rsidR="00814390">
        <w:rPr>
          <w:rFonts w:ascii="Times New Roman" w:hAnsi="Times New Roman" w:cs="Times New Roman"/>
          <w:bCs/>
          <w:sz w:val="24"/>
          <w:szCs w:val="24"/>
        </w:rPr>
        <w:t>ching and learning and research.</w:t>
      </w:r>
      <w:r w:rsidR="008F1AE2">
        <w:rPr>
          <w:rFonts w:ascii="Times New Roman" w:hAnsi="Times New Roman" w:cs="Times New Roman"/>
          <w:bCs/>
          <w:sz w:val="24"/>
          <w:szCs w:val="24"/>
        </w:rPr>
        <w:t xml:space="preserve"> </w:t>
      </w:r>
      <w:r w:rsidR="00814390">
        <w:rPr>
          <w:rFonts w:ascii="Times New Roman" w:hAnsi="Times New Roman" w:cs="Times New Roman"/>
          <w:bCs/>
          <w:sz w:val="24"/>
          <w:szCs w:val="24"/>
        </w:rPr>
        <w:t xml:space="preserve"> Its purview</w:t>
      </w:r>
      <w:r w:rsidR="00A34A3A">
        <w:rPr>
          <w:rFonts w:ascii="Times New Roman" w:hAnsi="Times New Roman" w:cs="Times New Roman"/>
          <w:bCs/>
          <w:sz w:val="24"/>
          <w:szCs w:val="24"/>
        </w:rPr>
        <w:t xml:space="preserve"> </w:t>
      </w:r>
      <w:r w:rsidR="00DF622C">
        <w:rPr>
          <w:rFonts w:ascii="Times New Roman" w:hAnsi="Times New Roman" w:cs="Times New Roman"/>
          <w:bCs/>
          <w:sz w:val="24"/>
          <w:szCs w:val="24"/>
        </w:rPr>
        <w:t xml:space="preserve">embraced </w:t>
      </w:r>
      <w:r w:rsidR="00814390">
        <w:rPr>
          <w:rFonts w:ascii="Times New Roman" w:hAnsi="Times New Roman" w:cs="Times New Roman"/>
          <w:bCs/>
          <w:sz w:val="24"/>
          <w:szCs w:val="24"/>
        </w:rPr>
        <w:t xml:space="preserve">also at issues such as </w:t>
      </w:r>
      <w:r w:rsidR="00C104C8">
        <w:rPr>
          <w:rFonts w:ascii="Times New Roman" w:hAnsi="Times New Roman" w:cs="Times New Roman"/>
          <w:bCs/>
          <w:sz w:val="24"/>
          <w:szCs w:val="24"/>
        </w:rPr>
        <w:t>the support o</w:t>
      </w:r>
      <w:r w:rsidR="00C74E89">
        <w:rPr>
          <w:rFonts w:ascii="Times New Roman" w:hAnsi="Times New Roman" w:cs="Times New Roman"/>
          <w:bCs/>
          <w:sz w:val="24"/>
          <w:szCs w:val="24"/>
        </w:rPr>
        <w:t>f life-long learning and access to higher and further education of all Australians including those in regional areas and from l</w:t>
      </w:r>
      <w:r w:rsidR="008F1AE2">
        <w:rPr>
          <w:rFonts w:ascii="Times New Roman" w:hAnsi="Times New Roman" w:cs="Times New Roman"/>
          <w:bCs/>
          <w:sz w:val="24"/>
          <w:szCs w:val="24"/>
        </w:rPr>
        <w:t xml:space="preserve">ower socio-economic backgrounds, and </w:t>
      </w:r>
      <w:r w:rsidR="00C74E89">
        <w:rPr>
          <w:rFonts w:ascii="Times New Roman" w:hAnsi="Times New Roman" w:cs="Times New Roman"/>
          <w:bCs/>
          <w:sz w:val="24"/>
          <w:szCs w:val="24"/>
        </w:rPr>
        <w:t xml:space="preserve">building and maintaining the educational export industry,  </w:t>
      </w:r>
    </w:p>
    <w:p w:rsidR="00814390" w:rsidRDefault="00814390" w:rsidP="00CF45D4">
      <w:pPr>
        <w:pStyle w:val="FootnoteText"/>
        <w:spacing w:line="360" w:lineRule="auto"/>
        <w:rPr>
          <w:rFonts w:ascii="Times New Roman" w:hAnsi="Times New Roman" w:cs="Times New Roman"/>
          <w:bCs/>
          <w:sz w:val="24"/>
          <w:szCs w:val="24"/>
        </w:rPr>
      </w:pPr>
    </w:p>
    <w:p w:rsidR="00CF45D4" w:rsidRDefault="00C74E89" w:rsidP="00CF45D4">
      <w:pPr>
        <w:pStyle w:val="FootnoteText"/>
        <w:spacing w:line="360" w:lineRule="auto"/>
        <w:rPr>
          <w:rFonts w:ascii="Times New Roman" w:hAnsi="Times New Roman" w:cs="Times New Roman"/>
          <w:sz w:val="24"/>
          <w:szCs w:val="24"/>
        </w:rPr>
      </w:pPr>
      <w:r>
        <w:rPr>
          <w:rFonts w:ascii="Times New Roman" w:hAnsi="Times New Roman" w:cs="Times New Roman"/>
          <w:bCs/>
          <w:sz w:val="24"/>
          <w:szCs w:val="24"/>
        </w:rPr>
        <w:t>The</w:t>
      </w:r>
      <w:r>
        <w:rPr>
          <w:rFonts w:ascii="Times New Roman" w:hAnsi="Times New Roman" w:cs="Times New Roman"/>
          <w:sz w:val="24"/>
          <w:szCs w:val="24"/>
        </w:rPr>
        <w:t xml:space="preserve"> other </w:t>
      </w:r>
      <w:r w:rsidR="00480C60">
        <w:rPr>
          <w:rFonts w:ascii="Times New Roman" w:hAnsi="Times New Roman" w:cs="Times New Roman"/>
          <w:sz w:val="24"/>
          <w:szCs w:val="24"/>
        </w:rPr>
        <w:t xml:space="preserve">two </w:t>
      </w:r>
      <w:r>
        <w:rPr>
          <w:rFonts w:ascii="Times New Roman" w:hAnsi="Times New Roman" w:cs="Times New Roman"/>
          <w:sz w:val="24"/>
          <w:szCs w:val="24"/>
        </w:rPr>
        <w:t xml:space="preserve">reviews related specifically </w:t>
      </w:r>
      <w:r w:rsidR="00DF622C">
        <w:rPr>
          <w:rFonts w:ascii="Times New Roman" w:hAnsi="Times New Roman" w:cs="Times New Roman"/>
          <w:sz w:val="24"/>
          <w:szCs w:val="24"/>
        </w:rPr>
        <w:t xml:space="preserve">to international education and </w:t>
      </w:r>
      <w:r>
        <w:rPr>
          <w:rFonts w:ascii="Times New Roman" w:hAnsi="Times New Roman" w:cs="Times New Roman"/>
          <w:sz w:val="24"/>
          <w:szCs w:val="24"/>
        </w:rPr>
        <w:t>were</w:t>
      </w:r>
      <w:r w:rsidR="00480C60">
        <w:rPr>
          <w:rFonts w:ascii="Times New Roman" w:hAnsi="Times New Roman" w:cs="Times New Roman"/>
          <w:sz w:val="24"/>
          <w:szCs w:val="24"/>
        </w:rPr>
        <w:t xml:space="preserve"> completed</w:t>
      </w:r>
      <w:r w:rsidR="00617B73" w:rsidRPr="00617B73">
        <w:rPr>
          <w:rFonts w:ascii="Times New Roman" w:hAnsi="Times New Roman" w:cs="Times New Roman"/>
          <w:sz w:val="24"/>
          <w:szCs w:val="24"/>
        </w:rPr>
        <w:t xml:space="preserve"> in close succession</w:t>
      </w:r>
      <w:r>
        <w:rPr>
          <w:rFonts w:ascii="Times New Roman" w:hAnsi="Times New Roman" w:cs="Times New Roman"/>
          <w:sz w:val="24"/>
          <w:szCs w:val="24"/>
        </w:rPr>
        <w:t xml:space="preserve"> following the Bradley Review.  In</w:t>
      </w:r>
      <w:r w:rsidR="00617B73" w:rsidRPr="00617B73">
        <w:rPr>
          <w:rFonts w:ascii="Times New Roman" w:hAnsi="Times New Roman" w:cs="Times New Roman"/>
          <w:sz w:val="24"/>
          <w:szCs w:val="24"/>
        </w:rPr>
        <w:t xml:space="preserve"> 2010 Australian Education International released the Baird Review “</w:t>
      </w:r>
      <w:r w:rsidR="00617B73" w:rsidRPr="00617B73">
        <w:rPr>
          <w:rFonts w:ascii="Times New Roman" w:hAnsi="Times New Roman" w:cs="Times New Roman"/>
          <w:i/>
          <w:sz w:val="24"/>
          <w:szCs w:val="24"/>
        </w:rPr>
        <w:t xml:space="preserve">Stronger, simpler, smarter ESOS – Supporting International Students: Review of the </w:t>
      </w:r>
      <w:r w:rsidR="00617B73" w:rsidRPr="00617B73">
        <w:rPr>
          <w:rFonts w:ascii="Times New Roman" w:hAnsi="Times New Roman" w:cs="Times New Roman"/>
          <w:i/>
          <w:sz w:val="24"/>
          <w:szCs w:val="24"/>
        </w:rPr>
        <w:lastRenderedPageBreak/>
        <w:t xml:space="preserve">Education Services for Overseas Students (ESOS) Act 2000; </w:t>
      </w:r>
      <w:r w:rsidR="00617B73" w:rsidRPr="00617B73">
        <w:rPr>
          <w:rFonts w:ascii="Times New Roman" w:hAnsi="Times New Roman" w:cs="Times New Roman"/>
          <w:sz w:val="24"/>
          <w:szCs w:val="24"/>
        </w:rPr>
        <w:t>and in 2011 the Department of Immigration and Citizenship released the Knight Review: ‘</w:t>
      </w:r>
      <w:r w:rsidR="00617B73" w:rsidRPr="00617B73">
        <w:rPr>
          <w:rFonts w:ascii="Times New Roman" w:hAnsi="Times New Roman" w:cs="Times New Roman"/>
          <w:i/>
          <w:sz w:val="24"/>
          <w:szCs w:val="24"/>
        </w:rPr>
        <w:t xml:space="preserve">Strategic Review of the Student Visa Program 2011’.  </w:t>
      </w:r>
      <w:r w:rsidR="00617B73" w:rsidRPr="00617B73">
        <w:rPr>
          <w:rFonts w:ascii="Times New Roman" w:hAnsi="Times New Roman" w:cs="Times New Roman"/>
          <w:sz w:val="24"/>
          <w:szCs w:val="24"/>
        </w:rPr>
        <w:t>The</w:t>
      </w:r>
      <w:r w:rsidR="008F1AE2">
        <w:rPr>
          <w:rFonts w:ascii="Times New Roman" w:hAnsi="Times New Roman" w:cs="Times New Roman"/>
          <w:sz w:val="24"/>
          <w:szCs w:val="24"/>
        </w:rPr>
        <w:t>se</w:t>
      </w:r>
      <w:r w:rsidR="00617B73" w:rsidRPr="00617B73">
        <w:rPr>
          <w:rFonts w:ascii="Times New Roman" w:hAnsi="Times New Roman" w:cs="Times New Roman"/>
          <w:sz w:val="24"/>
          <w:szCs w:val="24"/>
        </w:rPr>
        <w:t xml:space="preserve"> reviews, while each with a different focus, </w:t>
      </w:r>
      <w:r>
        <w:rPr>
          <w:rFonts w:ascii="Times New Roman" w:hAnsi="Times New Roman" w:cs="Times New Roman"/>
          <w:sz w:val="24"/>
          <w:szCs w:val="24"/>
        </w:rPr>
        <w:t xml:space="preserve">dealt </w:t>
      </w:r>
      <w:r w:rsidR="008F1AE2" w:rsidRPr="00617B73">
        <w:rPr>
          <w:rFonts w:ascii="Times New Roman" w:hAnsi="Times New Roman" w:cs="Times New Roman"/>
          <w:sz w:val="24"/>
          <w:szCs w:val="24"/>
        </w:rPr>
        <w:t>essentiall</w:t>
      </w:r>
      <w:r w:rsidR="008F1AE2">
        <w:rPr>
          <w:rFonts w:ascii="Times New Roman" w:hAnsi="Times New Roman" w:cs="Times New Roman"/>
          <w:sz w:val="24"/>
          <w:szCs w:val="24"/>
        </w:rPr>
        <w:t xml:space="preserve">y </w:t>
      </w:r>
      <w:r>
        <w:rPr>
          <w:rFonts w:ascii="Times New Roman" w:hAnsi="Times New Roman" w:cs="Times New Roman"/>
          <w:sz w:val="24"/>
          <w:szCs w:val="24"/>
        </w:rPr>
        <w:t>with overlapping issues relating to the provision of education to international students</w:t>
      </w:r>
      <w:r w:rsidR="008F1AE2">
        <w:rPr>
          <w:rFonts w:ascii="Times New Roman" w:hAnsi="Times New Roman" w:cs="Times New Roman"/>
          <w:sz w:val="24"/>
          <w:szCs w:val="24"/>
        </w:rPr>
        <w:t xml:space="preserve">.  </w:t>
      </w:r>
      <w:r w:rsidR="00A34A3A">
        <w:rPr>
          <w:rFonts w:ascii="Times New Roman" w:hAnsi="Times New Roman" w:cs="Times New Roman"/>
          <w:sz w:val="24"/>
          <w:szCs w:val="24"/>
        </w:rPr>
        <w:t>T</w:t>
      </w:r>
      <w:r w:rsidR="008F1AE2">
        <w:rPr>
          <w:rFonts w:ascii="Times New Roman" w:hAnsi="Times New Roman" w:cs="Times New Roman"/>
          <w:sz w:val="24"/>
          <w:szCs w:val="24"/>
        </w:rPr>
        <w:t>hey also</w:t>
      </w:r>
      <w:r w:rsidR="00617B73" w:rsidRPr="00617B73">
        <w:rPr>
          <w:rFonts w:ascii="Times New Roman" w:hAnsi="Times New Roman" w:cs="Times New Roman"/>
          <w:sz w:val="24"/>
          <w:szCs w:val="24"/>
        </w:rPr>
        <w:t xml:space="preserve"> </w:t>
      </w:r>
      <w:r w:rsidR="00A34A3A">
        <w:rPr>
          <w:rFonts w:ascii="Times New Roman" w:hAnsi="Times New Roman" w:cs="Times New Roman"/>
          <w:sz w:val="24"/>
          <w:szCs w:val="24"/>
        </w:rPr>
        <w:t xml:space="preserve">have </w:t>
      </w:r>
      <w:r w:rsidR="00617B73" w:rsidRPr="00617B73">
        <w:rPr>
          <w:rFonts w:ascii="Times New Roman" w:hAnsi="Times New Roman" w:cs="Times New Roman"/>
          <w:sz w:val="24"/>
          <w:szCs w:val="24"/>
        </w:rPr>
        <w:t xml:space="preserve">had significant impact on the sector.  </w:t>
      </w:r>
      <w:r w:rsidR="00CF45D4">
        <w:rPr>
          <w:rFonts w:ascii="Times New Roman" w:hAnsi="Times New Roman" w:cs="Times New Roman"/>
          <w:sz w:val="24"/>
          <w:szCs w:val="24"/>
        </w:rPr>
        <w:t xml:space="preserve">While each found that Australia generally offered a high quality of </w:t>
      </w:r>
      <w:r w:rsidR="008F1AE2">
        <w:rPr>
          <w:rFonts w:ascii="Times New Roman" w:hAnsi="Times New Roman" w:cs="Times New Roman"/>
          <w:sz w:val="24"/>
          <w:szCs w:val="24"/>
        </w:rPr>
        <w:t xml:space="preserve">tertiary education, </w:t>
      </w:r>
      <w:r w:rsidR="00A34A3A">
        <w:rPr>
          <w:rFonts w:ascii="Times New Roman" w:hAnsi="Times New Roman" w:cs="Times New Roman"/>
          <w:sz w:val="24"/>
          <w:szCs w:val="24"/>
        </w:rPr>
        <w:t xml:space="preserve">there was an accompanying </w:t>
      </w:r>
      <w:r w:rsidR="00CF45D4">
        <w:rPr>
          <w:rFonts w:ascii="Times New Roman" w:hAnsi="Times New Roman" w:cs="Times New Roman"/>
          <w:sz w:val="24"/>
          <w:szCs w:val="24"/>
        </w:rPr>
        <w:t xml:space="preserve">concern over weaknesses in the regulatory system leading to a lack of </w:t>
      </w:r>
      <w:r w:rsidR="00DF622C">
        <w:rPr>
          <w:rFonts w:ascii="Times New Roman" w:hAnsi="Times New Roman" w:cs="Times New Roman"/>
          <w:sz w:val="24"/>
          <w:szCs w:val="24"/>
        </w:rPr>
        <w:t>clarity which</w:t>
      </w:r>
      <w:r w:rsidR="00A34A3A">
        <w:rPr>
          <w:rFonts w:ascii="Times New Roman" w:hAnsi="Times New Roman" w:cs="Times New Roman"/>
          <w:sz w:val="24"/>
          <w:szCs w:val="24"/>
        </w:rPr>
        <w:t xml:space="preserve"> </w:t>
      </w:r>
      <w:r w:rsidR="00CF45D4">
        <w:rPr>
          <w:rFonts w:ascii="Times New Roman" w:hAnsi="Times New Roman" w:cs="Times New Roman"/>
          <w:sz w:val="24"/>
          <w:szCs w:val="24"/>
        </w:rPr>
        <w:t>allow</w:t>
      </w:r>
      <w:r w:rsidR="00DF622C">
        <w:rPr>
          <w:rFonts w:ascii="Times New Roman" w:hAnsi="Times New Roman" w:cs="Times New Roman"/>
          <w:sz w:val="24"/>
          <w:szCs w:val="24"/>
        </w:rPr>
        <w:t>ed</w:t>
      </w:r>
      <w:r w:rsidR="008F1AE2">
        <w:rPr>
          <w:rFonts w:ascii="Times New Roman" w:hAnsi="Times New Roman" w:cs="Times New Roman"/>
          <w:sz w:val="24"/>
          <w:szCs w:val="24"/>
        </w:rPr>
        <w:t xml:space="preserve"> </w:t>
      </w:r>
      <w:r w:rsidR="00DF622C">
        <w:rPr>
          <w:rFonts w:ascii="Times New Roman" w:hAnsi="Times New Roman" w:cs="Times New Roman"/>
          <w:sz w:val="24"/>
          <w:szCs w:val="24"/>
        </w:rPr>
        <w:t>inconsistencies to develop</w:t>
      </w:r>
      <w:r w:rsidR="00CF45D4">
        <w:rPr>
          <w:rFonts w:ascii="Times New Roman" w:hAnsi="Times New Roman" w:cs="Times New Roman"/>
          <w:sz w:val="24"/>
          <w:szCs w:val="24"/>
        </w:rPr>
        <w:t>.</w:t>
      </w:r>
      <w:r w:rsidR="00480C60">
        <w:rPr>
          <w:rFonts w:ascii="Times New Roman" w:hAnsi="Times New Roman" w:cs="Times New Roman"/>
          <w:sz w:val="24"/>
          <w:szCs w:val="24"/>
        </w:rPr>
        <w:t xml:space="preserve">  </w:t>
      </w:r>
      <w:r w:rsidR="00A34A3A">
        <w:rPr>
          <w:rFonts w:ascii="Times New Roman" w:hAnsi="Times New Roman" w:cs="Times New Roman"/>
          <w:sz w:val="24"/>
          <w:szCs w:val="24"/>
        </w:rPr>
        <w:t>This extended to</w:t>
      </w:r>
      <w:r w:rsidR="00480C60">
        <w:rPr>
          <w:rFonts w:ascii="Times New Roman" w:hAnsi="Times New Roman" w:cs="Times New Roman"/>
          <w:sz w:val="24"/>
          <w:szCs w:val="24"/>
        </w:rPr>
        <w:t xml:space="preserve"> features of the immigration system</w:t>
      </w:r>
      <w:r w:rsidR="00A34A3A">
        <w:rPr>
          <w:rFonts w:ascii="Times New Roman" w:hAnsi="Times New Roman" w:cs="Times New Roman"/>
          <w:sz w:val="24"/>
          <w:szCs w:val="24"/>
        </w:rPr>
        <w:t>, identified by the Knight Review,</w:t>
      </w:r>
      <w:r w:rsidR="00480C60">
        <w:rPr>
          <w:rFonts w:ascii="Times New Roman" w:hAnsi="Times New Roman" w:cs="Times New Roman"/>
          <w:sz w:val="24"/>
          <w:szCs w:val="24"/>
        </w:rPr>
        <w:t xml:space="preserve"> which acted as impediments to international student enrolments and the appeal of Australia as an education destination.</w:t>
      </w:r>
    </w:p>
    <w:p w:rsidR="00CF45D4" w:rsidRDefault="00CF45D4" w:rsidP="00CF45D4">
      <w:pPr>
        <w:pStyle w:val="FootnoteText"/>
        <w:spacing w:line="360" w:lineRule="auto"/>
        <w:rPr>
          <w:rFonts w:ascii="Times New Roman" w:hAnsi="Times New Roman" w:cs="Times New Roman"/>
          <w:sz w:val="24"/>
          <w:szCs w:val="24"/>
        </w:rPr>
      </w:pPr>
    </w:p>
    <w:p w:rsidR="00617B73" w:rsidRDefault="00CF45D4" w:rsidP="00CF45D4">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Because the Baird Review and the Knight Review related specifically to the provision of education to international students they will be discussed be</w:t>
      </w:r>
      <w:r w:rsidR="008F1AE2">
        <w:rPr>
          <w:rFonts w:ascii="Times New Roman" w:hAnsi="Times New Roman" w:cs="Times New Roman"/>
          <w:sz w:val="24"/>
          <w:szCs w:val="24"/>
        </w:rPr>
        <w:t>low in this specific context.  However, m</w:t>
      </w:r>
      <w:r>
        <w:rPr>
          <w:rFonts w:ascii="Times New Roman" w:hAnsi="Times New Roman" w:cs="Times New Roman"/>
          <w:sz w:val="24"/>
          <w:szCs w:val="24"/>
        </w:rPr>
        <w:t>any of the points made in the Baird Review as they relate to the quality of education generally apply equally to local students</w:t>
      </w:r>
      <w:r w:rsidR="00617B73">
        <w:rPr>
          <w:rFonts w:ascii="Times New Roman" w:hAnsi="Times New Roman" w:cs="Times New Roman"/>
          <w:sz w:val="24"/>
          <w:szCs w:val="24"/>
        </w:rPr>
        <w:t>.</w:t>
      </w:r>
      <w:r w:rsidR="00417055">
        <w:rPr>
          <w:rFonts w:ascii="Times New Roman" w:hAnsi="Times New Roman" w:cs="Times New Roman"/>
          <w:sz w:val="24"/>
          <w:szCs w:val="24"/>
        </w:rPr>
        <w:t xml:space="preserve">  As </w:t>
      </w:r>
      <w:r w:rsidR="008F1AE2">
        <w:rPr>
          <w:rFonts w:ascii="Times New Roman" w:hAnsi="Times New Roman" w:cs="Times New Roman"/>
          <w:sz w:val="24"/>
          <w:szCs w:val="24"/>
        </w:rPr>
        <w:t xml:space="preserve">noted by </w:t>
      </w:r>
      <w:r w:rsidR="00417055">
        <w:rPr>
          <w:rFonts w:ascii="Times New Roman" w:hAnsi="Times New Roman" w:cs="Times New Roman"/>
          <w:sz w:val="24"/>
          <w:szCs w:val="24"/>
        </w:rPr>
        <w:t>Baird:</w:t>
      </w:r>
      <w:r w:rsidR="00417055">
        <w:rPr>
          <w:rStyle w:val="FootnoteReference"/>
          <w:sz w:val="24"/>
          <w:szCs w:val="24"/>
        </w:rPr>
        <w:footnoteReference w:id="23"/>
      </w:r>
    </w:p>
    <w:p w:rsidR="008F1AE2" w:rsidRDefault="008F1AE2" w:rsidP="00417055">
      <w:pPr>
        <w:pStyle w:val="FootnoteText"/>
        <w:ind w:left="851" w:right="2277"/>
        <w:rPr>
          <w:rFonts w:ascii="Times New Roman" w:hAnsi="Times New Roman" w:cs="Times New Roman"/>
        </w:rPr>
      </w:pPr>
    </w:p>
    <w:p w:rsidR="00417055" w:rsidRPr="00417055" w:rsidRDefault="00417055" w:rsidP="00417055">
      <w:pPr>
        <w:pStyle w:val="FootnoteText"/>
        <w:ind w:left="851" w:right="2277"/>
        <w:rPr>
          <w:rFonts w:ascii="Times New Roman" w:hAnsi="Times New Roman" w:cs="Times New Roman"/>
        </w:rPr>
      </w:pPr>
      <w:r w:rsidRPr="00417055">
        <w:rPr>
          <w:rFonts w:ascii="Times New Roman" w:hAnsi="Times New Roman" w:cs="Times New Roman"/>
        </w:rPr>
        <w:t>In reviewing these frameworks I believe international education is a leading indicator for domestic policy makers.  For the Australian Government’s aspiration of increasing participation in education to be realised the education sector will need to grow.  The international education experience h</w:t>
      </w:r>
      <w:r w:rsidR="009334D5">
        <w:rPr>
          <w:rFonts w:ascii="Times New Roman" w:hAnsi="Times New Roman" w:cs="Times New Roman"/>
        </w:rPr>
        <w:t>as shown that the private sector has the greatest ability and ca</w:t>
      </w:r>
      <w:r w:rsidRPr="00417055">
        <w:rPr>
          <w:rFonts w:ascii="Times New Roman" w:hAnsi="Times New Roman" w:cs="Times New Roman"/>
        </w:rPr>
        <w:t>pacity to be responsive to demand and h</w:t>
      </w:r>
      <w:r w:rsidR="009334D5">
        <w:rPr>
          <w:rFonts w:ascii="Times New Roman" w:hAnsi="Times New Roman" w:cs="Times New Roman"/>
        </w:rPr>
        <w:t>e</w:t>
      </w:r>
      <w:r w:rsidRPr="00417055">
        <w:rPr>
          <w:rFonts w:ascii="Times New Roman" w:hAnsi="Times New Roman" w:cs="Times New Roman"/>
        </w:rPr>
        <w:t xml:space="preserve">nce grow quickly.  However, where profit is a key outcome from delivering education services, </w:t>
      </w:r>
      <w:r w:rsidR="009334D5">
        <w:rPr>
          <w:rFonts w:ascii="Times New Roman" w:hAnsi="Times New Roman" w:cs="Times New Roman"/>
        </w:rPr>
        <w:t xml:space="preserve">the quality of the service will </w:t>
      </w:r>
      <w:r w:rsidRPr="00417055">
        <w:rPr>
          <w:rFonts w:ascii="Times New Roman" w:hAnsi="Times New Roman" w:cs="Times New Roman"/>
        </w:rPr>
        <w:t>at some point and for some providers come under pressure.</w:t>
      </w:r>
    </w:p>
    <w:p w:rsidR="00CF45D4" w:rsidRDefault="00CF45D4" w:rsidP="00617B73">
      <w:pPr>
        <w:pStyle w:val="FootnoteText"/>
        <w:rPr>
          <w:rFonts w:ascii="Times New Roman" w:hAnsi="Times New Roman" w:cs="Times New Roman"/>
          <w:sz w:val="24"/>
          <w:szCs w:val="24"/>
        </w:rPr>
      </w:pPr>
    </w:p>
    <w:p w:rsidR="004A31FB" w:rsidRDefault="00A34A3A" w:rsidP="00617B73">
      <w:pPr>
        <w:pStyle w:val="FootnoteText"/>
        <w:rPr>
          <w:rFonts w:ascii="Times New Roman" w:hAnsi="Times New Roman" w:cs="Times New Roman"/>
          <w:sz w:val="24"/>
          <w:szCs w:val="24"/>
        </w:rPr>
      </w:pPr>
      <w:r>
        <w:rPr>
          <w:rFonts w:ascii="Times New Roman" w:hAnsi="Times New Roman" w:cs="Times New Roman"/>
          <w:sz w:val="24"/>
          <w:szCs w:val="24"/>
        </w:rPr>
        <w:t xml:space="preserve">First, the reforms </w:t>
      </w:r>
      <w:r w:rsidR="004A31FB">
        <w:rPr>
          <w:rFonts w:ascii="Times New Roman" w:hAnsi="Times New Roman" w:cs="Times New Roman"/>
          <w:sz w:val="24"/>
          <w:szCs w:val="24"/>
        </w:rPr>
        <w:t>precipitated by the Bradley</w:t>
      </w:r>
      <w:r>
        <w:rPr>
          <w:rFonts w:ascii="Times New Roman" w:hAnsi="Times New Roman" w:cs="Times New Roman"/>
          <w:sz w:val="24"/>
          <w:szCs w:val="24"/>
        </w:rPr>
        <w:t xml:space="preserve"> Review…</w:t>
      </w:r>
    </w:p>
    <w:p w:rsidR="004A31FB" w:rsidRDefault="004A31FB" w:rsidP="00617B73">
      <w:pPr>
        <w:pStyle w:val="FootnoteText"/>
        <w:rPr>
          <w:rFonts w:ascii="Times New Roman" w:hAnsi="Times New Roman" w:cs="Times New Roman"/>
          <w:sz w:val="24"/>
          <w:szCs w:val="24"/>
        </w:rPr>
      </w:pPr>
    </w:p>
    <w:p w:rsidR="00416CFA" w:rsidRDefault="00617B73" w:rsidP="00617B73">
      <w:pPr>
        <w:pStyle w:val="FootnoteText"/>
        <w:rPr>
          <w:rFonts w:ascii="Times New Roman" w:hAnsi="Times New Roman" w:cs="Times New Roman"/>
          <w:b/>
          <w:sz w:val="24"/>
          <w:szCs w:val="24"/>
        </w:rPr>
      </w:pPr>
      <w:r>
        <w:rPr>
          <w:rFonts w:ascii="Times New Roman" w:hAnsi="Times New Roman" w:cs="Times New Roman"/>
          <w:b/>
          <w:sz w:val="24"/>
          <w:szCs w:val="24"/>
        </w:rPr>
        <w:t>The Response of the Government</w:t>
      </w:r>
    </w:p>
    <w:p w:rsidR="00416CFA" w:rsidRDefault="00416CFA" w:rsidP="00617B73">
      <w:pPr>
        <w:pStyle w:val="FootnoteText"/>
        <w:rPr>
          <w:rFonts w:ascii="Times New Roman" w:hAnsi="Times New Roman" w:cs="Times New Roman"/>
          <w:b/>
          <w:sz w:val="24"/>
          <w:szCs w:val="24"/>
        </w:rPr>
      </w:pPr>
    </w:p>
    <w:p w:rsidR="00617B73" w:rsidRDefault="00617B73" w:rsidP="00617B73">
      <w:pPr>
        <w:pStyle w:val="FootnoteText"/>
        <w:rPr>
          <w:rFonts w:ascii="Times New Roman" w:hAnsi="Times New Roman" w:cs="Times New Roman"/>
          <w:b/>
          <w:sz w:val="24"/>
          <w:szCs w:val="24"/>
        </w:rPr>
      </w:pPr>
    </w:p>
    <w:p w:rsidR="00A34A3A" w:rsidRPr="0067455C" w:rsidRDefault="00A34A3A" w:rsidP="00416CFA">
      <w:pPr>
        <w:spacing w:line="240" w:lineRule="auto"/>
        <w:ind w:left="851" w:right="1990"/>
        <w:rPr>
          <w:rFonts w:ascii="Times New Roman" w:hAnsi="Times New Roman" w:cs="Times New Roman"/>
          <w:bCs/>
          <w:sz w:val="20"/>
          <w:szCs w:val="20"/>
        </w:rPr>
      </w:pPr>
      <w:r w:rsidRPr="0067455C">
        <w:rPr>
          <w:rFonts w:ascii="Times New Roman" w:hAnsi="Times New Roman" w:cs="Times New Roman"/>
          <w:bCs/>
          <w:sz w:val="20"/>
          <w:szCs w:val="20"/>
        </w:rPr>
        <w:t>The Bradley Review affirmed that the reach, quality and performance of this nation’s higher education system is central to Australia’s economic and social progress.  To be globally competitive and to secure high skilled jobs of the future, Australia needs an outstanding, internationally competitive higher education system with increased participation and higher attainment levels.  Australia also needs a quality higher education system to sustain the international education industry which is Australia’s third largest export.</w:t>
      </w:r>
      <w:r>
        <w:rPr>
          <w:rStyle w:val="FootnoteReference"/>
          <w:bCs/>
          <w:sz w:val="20"/>
          <w:szCs w:val="20"/>
        </w:rPr>
        <w:footnoteReference w:id="24"/>
      </w:r>
    </w:p>
    <w:p w:rsidR="00A34A3A" w:rsidRPr="00617B73" w:rsidRDefault="00A34A3A" w:rsidP="00617B73">
      <w:pPr>
        <w:pStyle w:val="FootnoteText"/>
        <w:rPr>
          <w:rFonts w:ascii="Times New Roman" w:hAnsi="Times New Roman" w:cs="Times New Roman"/>
          <w:b/>
        </w:rPr>
      </w:pPr>
    </w:p>
    <w:p w:rsidR="00416CFA" w:rsidRDefault="0067455C" w:rsidP="00416CFA">
      <w:pPr>
        <w:spacing w:before="240" w:line="360" w:lineRule="auto"/>
        <w:rPr>
          <w:rFonts w:ascii="Times New Roman" w:hAnsi="Times New Roman" w:cs="Times New Roman"/>
          <w:sz w:val="24"/>
          <w:szCs w:val="24"/>
        </w:rPr>
      </w:pPr>
      <w:r>
        <w:rPr>
          <w:rFonts w:ascii="Times New Roman" w:hAnsi="Times New Roman" w:cs="Times New Roman"/>
          <w:bCs/>
          <w:sz w:val="24"/>
          <w:szCs w:val="24"/>
        </w:rPr>
        <w:lastRenderedPageBreak/>
        <w:t xml:space="preserve">The </w:t>
      </w:r>
      <w:r w:rsidR="00416CFA">
        <w:rPr>
          <w:rFonts w:ascii="Times New Roman" w:hAnsi="Times New Roman" w:cs="Times New Roman"/>
          <w:bCs/>
          <w:sz w:val="24"/>
          <w:szCs w:val="24"/>
        </w:rPr>
        <w:t xml:space="preserve">Review’s </w:t>
      </w:r>
      <w:r>
        <w:rPr>
          <w:rFonts w:ascii="Times New Roman" w:hAnsi="Times New Roman" w:cs="Times New Roman"/>
          <w:bCs/>
          <w:sz w:val="24"/>
          <w:szCs w:val="24"/>
        </w:rPr>
        <w:t xml:space="preserve">recommendations were adopted by the </w:t>
      </w:r>
      <w:r w:rsidR="00617B73">
        <w:rPr>
          <w:rFonts w:ascii="Times New Roman" w:hAnsi="Times New Roman" w:cs="Times New Roman"/>
          <w:bCs/>
          <w:sz w:val="24"/>
          <w:szCs w:val="24"/>
        </w:rPr>
        <w:t>Commonwealth</w:t>
      </w:r>
      <w:r w:rsidR="00C104C8">
        <w:rPr>
          <w:rFonts w:ascii="Times New Roman" w:hAnsi="Times New Roman" w:cs="Times New Roman"/>
          <w:bCs/>
          <w:sz w:val="24"/>
          <w:szCs w:val="24"/>
        </w:rPr>
        <w:t xml:space="preserve"> Gov</w:t>
      </w:r>
      <w:r w:rsidR="00DF622C">
        <w:rPr>
          <w:rFonts w:ascii="Times New Roman" w:hAnsi="Times New Roman" w:cs="Times New Roman"/>
          <w:bCs/>
          <w:sz w:val="24"/>
          <w:szCs w:val="24"/>
        </w:rPr>
        <w:t>ernment rapidly.</w:t>
      </w:r>
      <w:r w:rsidR="00480C60">
        <w:rPr>
          <w:rFonts w:ascii="Times New Roman" w:hAnsi="Times New Roman" w:cs="Times New Roman"/>
          <w:bCs/>
          <w:sz w:val="24"/>
          <w:szCs w:val="24"/>
        </w:rPr>
        <w:t xml:space="preserve"> </w:t>
      </w:r>
      <w:r w:rsidR="00C56DD0">
        <w:rPr>
          <w:rFonts w:ascii="Times New Roman" w:hAnsi="Times New Roman" w:cs="Times New Roman"/>
          <w:bCs/>
          <w:sz w:val="24"/>
          <w:szCs w:val="24"/>
        </w:rPr>
        <w:t xml:space="preserve">The components were </w:t>
      </w:r>
      <w:r w:rsidR="00DF622C">
        <w:rPr>
          <w:rFonts w:ascii="Times New Roman" w:hAnsi="Times New Roman" w:cs="Times New Roman"/>
          <w:bCs/>
          <w:sz w:val="24"/>
          <w:szCs w:val="24"/>
        </w:rPr>
        <w:t xml:space="preserve">provision for </w:t>
      </w:r>
      <w:r w:rsidR="00C56DD0">
        <w:rPr>
          <w:rFonts w:ascii="Times New Roman" w:hAnsi="Times New Roman" w:cs="Times New Roman"/>
          <w:bCs/>
          <w:sz w:val="24"/>
          <w:szCs w:val="24"/>
        </w:rPr>
        <w:t>a strong regulatory framework for quality assurance, ‘</w:t>
      </w:r>
      <w:r w:rsidR="00480C60">
        <w:rPr>
          <w:rFonts w:ascii="Times New Roman" w:hAnsi="Times New Roman" w:cs="Times New Roman"/>
          <w:bCs/>
          <w:sz w:val="24"/>
          <w:szCs w:val="24"/>
        </w:rPr>
        <w:t>world standard</w:t>
      </w:r>
      <w:r w:rsidR="00C56DD0">
        <w:rPr>
          <w:rFonts w:ascii="Times New Roman" w:hAnsi="Times New Roman" w:cs="Times New Roman"/>
          <w:bCs/>
          <w:sz w:val="24"/>
          <w:szCs w:val="24"/>
        </w:rPr>
        <w:t>’</w:t>
      </w:r>
      <w:r w:rsidR="00480C60">
        <w:rPr>
          <w:rFonts w:ascii="Times New Roman" w:hAnsi="Times New Roman" w:cs="Times New Roman"/>
          <w:bCs/>
          <w:sz w:val="24"/>
          <w:szCs w:val="24"/>
        </w:rPr>
        <w:t xml:space="preserve"> </w:t>
      </w:r>
      <w:r w:rsidR="00C74E89">
        <w:rPr>
          <w:rFonts w:ascii="Times New Roman" w:hAnsi="Times New Roman" w:cs="Times New Roman"/>
          <w:bCs/>
          <w:sz w:val="24"/>
          <w:szCs w:val="24"/>
        </w:rPr>
        <w:t>research</w:t>
      </w:r>
      <w:r w:rsidR="004A31FB">
        <w:rPr>
          <w:rFonts w:ascii="Times New Roman" w:hAnsi="Times New Roman" w:cs="Times New Roman"/>
          <w:bCs/>
          <w:sz w:val="24"/>
          <w:szCs w:val="24"/>
        </w:rPr>
        <w:t xml:space="preserve">, </w:t>
      </w:r>
      <w:r w:rsidR="00C56DD0">
        <w:rPr>
          <w:rFonts w:ascii="Times New Roman" w:hAnsi="Times New Roman" w:cs="Times New Roman"/>
          <w:bCs/>
          <w:sz w:val="24"/>
          <w:szCs w:val="24"/>
        </w:rPr>
        <w:t xml:space="preserve">and </w:t>
      </w:r>
      <w:r w:rsidR="00E76F0B">
        <w:rPr>
          <w:rFonts w:ascii="Times New Roman" w:hAnsi="Times New Roman" w:cs="Times New Roman"/>
          <w:bCs/>
          <w:sz w:val="24"/>
          <w:szCs w:val="24"/>
        </w:rPr>
        <w:t>a funding framework that supports greater participation, student access and choice and growth in student places</w:t>
      </w:r>
      <w:r w:rsidR="00416CFA">
        <w:rPr>
          <w:rFonts w:ascii="Times New Roman" w:hAnsi="Times New Roman" w:cs="Times New Roman"/>
          <w:bCs/>
          <w:sz w:val="24"/>
          <w:szCs w:val="24"/>
        </w:rPr>
        <w:t>.  In March 2011, the Prime Minister announced a new student-centred, demand-driven higher education system towards a target of 40 per cent of Australian 25-34 year olds having a bachelor level or above qualification by 2025.</w:t>
      </w:r>
      <w:r w:rsidR="00416CFA">
        <w:rPr>
          <w:rStyle w:val="FootnoteReference"/>
          <w:bCs/>
          <w:sz w:val="24"/>
          <w:szCs w:val="24"/>
        </w:rPr>
        <w:footnoteReference w:id="25"/>
      </w:r>
      <w:r w:rsidR="00416CFA">
        <w:rPr>
          <w:rFonts w:ascii="Times New Roman" w:hAnsi="Times New Roman" w:cs="Times New Roman"/>
          <w:bCs/>
          <w:sz w:val="24"/>
          <w:szCs w:val="24"/>
        </w:rPr>
        <w:t xml:space="preserve"> </w:t>
      </w:r>
      <w:r w:rsidR="00416CFA">
        <w:rPr>
          <w:rFonts w:ascii="Times New Roman" w:hAnsi="Times New Roman" w:cs="Times New Roman"/>
          <w:sz w:val="24"/>
          <w:szCs w:val="24"/>
        </w:rPr>
        <w:t xml:space="preserve"> </w:t>
      </w:r>
    </w:p>
    <w:p w:rsidR="008803FC" w:rsidRDefault="00E76F0B" w:rsidP="002E281B">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803FC">
        <w:rPr>
          <w:rFonts w:ascii="Times New Roman" w:hAnsi="Times New Roman" w:cs="Times New Roman"/>
          <w:bCs/>
          <w:sz w:val="24"/>
          <w:szCs w:val="24"/>
        </w:rPr>
        <w:t>Bradley’s recommendations</w:t>
      </w:r>
      <w:r w:rsidR="004A31FB">
        <w:rPr>
          <w:rFonts w:ascii="Times New Roman" w:hAnsi="Times New Roman" w:cs="Times New Roman"/>
          <w:bCs/>
          <w:sz w:val="24"/>
          <w:szCs w:val="24"/>
        </w:rPr>
        <w:t xml:space="preserve"> </w:t>
      </w:r>
      <w:r>
        <w:rPr>
          <w:rFonts w:ascii="Times New Roman" w:hAnsi="Times New Roman" w:cs="Times New Roman"/>
          <w:bCs/>
          <w:sz w:val="24"/>
          <w:szCs w:val="24"/>
        </w:rPr>
        <w:t>embodied</w:t>
      </w:r>
      <w:r w:rsidR="00583DA3">
        <w:rPr>
          <w:rFonts w:ascii="Times New Roman" w:hAnsi="Times New Roman" w:cs="Times New Roman"/>
          <w:bCs/>
          <w:sz w:val="24"/>
          <w:szCs w:val="24"/>
        </w:rPr>
        <w:t xml:space="preserve"> an agenda for reform of th</w:t>
      </w:r>
      <w:r>
        <w:rPr>
          <w:rFonts w:ascii="Times New Roman" w:hAnsi="Times New Roman" w:cs="Times New Roman"/>
          <w:bCs/>
          <w:sz w:val="24"/>
          <w:szCs w:val="24"/>
        </w:rPr>
        <w:t xml:space="preserve">e higher education sector which </w:t>
      </w:r>
      <w:r w:rsidR="00583DA3">
        <w:rPr>
          <w:rFonts w:ascii="Times New Roman" w:hAnsi="Times New Roman" w:cs="Times New Roman"/>
          <w:bCs/>
          <w:sz w:val="24"/>
          <w:szCs w:val="24"/>
        </w:rPr>
        <w:t>essentially entailed a massive ‘upgrade’ of univ</w:t>
      </w:r>
      <w:r w:rsidR="00047F43">
        <w:rPr>
          <w:rFonts w:ascii="Times New Roman" w:hAnsi="Times New Roman" w:cs="Times New Roman"/>
          <w:bCs/>
          <w:sz w:val="24"/>
          <w:szCs w:val="24"/>
        </w:rPr>
        <w:t xml:space="preserve">ersity and TAFE infrastructure </w:t>
      </w:r>
      <w:r w:rsidR="00583DA3">
        <w:rPr>
          <w:rFonts w:ascii="Times New Roman" w:hAnsi="Times New Roman" w:cs="Times New Roman"/>
          <w:bCs/>
          <w:sz w:val="24"/>
          <w:szCs w:val="24"/>
        </w:rPr>
        <w:t xml:space="preserve">to </w:t>
      </w:r>
      <w:r w:rsidR="004A31FB">
        <w:rPr>
          <w:rFonts w:ascii="Times New Roman" w:hAnsi="Times New Roman" w:cs="Times New Roman"/>
          <w:bCs/>
          <w:sz w:val="24"/>
          <w:szCs w:val="24"/>
        </w:rPr>
        <w:t>‘</w:t>
      </w:r>
      <w:r w:rsidR="00583DA3">
        <w:rPr>
          <w:rFonts w:ascii="Times New Roman" w:hAnsi="Times New Roman" w:cs="Times New Roman"/>
          <w:bCs/>
          <w:sz w:val="24"/>
          <w:szCs w:val="24"/>
        </w:rPr>
        <w:t>meet</w:t>
      </w:r>
      <w:r w:rsidR="008803FC">
        <w:rPr>
          <w:rFonts w:ascii="Times New Roman" w:hAnsi="Times New Roman" w:cs="Times New Roman"/>
          <w:bCs/>
          <w:sz w:val="24"/>
          <w:szCs w:val="24"/>
        </w:rPr>
        <w:t xml:space="preserve"> the requirements of Australia in terms of teaching and learning and research into the future</w:t>
      </w:r>
      <w:r w:rsidR="004A31FB">
        <w:rPr>
          <w:rFonts w:ascii="Times New Roman" w:hAnsi="Times New Roman" w:cs="Times New Roman"/>
          <w:bCs/>
          <w:sz w:val="24"/>
          <w:szCs w:val="24"/>
        </w:rPr>
        <w:t>’</w:t>
      </w:r>
      <w:r w:rsidR="008803FC">
        <w:rPr>
          <w:rFonts w:ascii="Times New Roman" w:hAnsi="Times New Roman" w:cs="Times New Roman"/>
          <w:bCs/>
          <w:sz w:val="24"/>
          <w:szCs w:val="24"/>
        </w:rPr>
        <w:t>.</w:t>
      </w:r>
      <w:r w:rsidR="00C104C8">
        <w:rPr>
          <w:rFonts w:ascii="Times New Roman" w:hAnsi="Times New Roman" w:cs="Times New Roman"/>
          <w:bCs/>
          <w:sz w:val="24"/>
          <w:szCs w:val="24"/>
        </w:rPr>
        <w:t xml:space="preserve">  </w:t>
      </w:r>
      <w:r w:rsidR="008803FC">
        <w:rPr>
          <w:rFonts w:ascii="Times New Roman" w:hAnsi="Times New Roman" w:cs="Times New Roman"/>
          <w:bCs/>
          <w:sz w:val="24"/>
          <w:szCs w:val="24"/>
        </w:rPr>
        <w:t xml:space="preserve">  </w:t>
      </w:r>
    </w:p>
    <w:p w:rsidR="008803FC" w:rsidRDefault="00583DA3" w:rsidP="002E281B">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803FC">
        <w:rPr>
          <w:rFonts w:ascii="Times New Roman" w:hAnsi="Times New Roman" w:cs="Times New Roman"/>
          <w:bCs/>
          <w:sz w:val="24"/>
          <w:szCs w:val="24"/>
        </w:rPr>
        <w:t>The reform agenda (over a ten year period) was set out in terms of these principles:</w:t>
      </w:r>
    </w:p>
    <w:p w:rsidR="00524F58" w:rsidRPr="00524F58" w:rsidRDefault="008803FC" w:rsidP="002E281B">
      <w:pPr>
        <w:pStyle w:val="ListParagraph"/>
        <w:numPr>
          <w:ilvl w:val="0"/>
          <w:numId w:val="8"/>
        </w:numPr>
        <w:spacing w:line="360" w:lineRule="auto"/>
        <w:rPr>
          <w:rFonts w:ascii="Times New Roman" w:hAnsi="Times New Roman" w:cs="Times New Roman"/>
          <w:bCs/>
          <w:sz w:val="24"/>
          <w:szCs w:val="24"/>
        </w:rPr>
      </w:pPr>
      <w:r>
        <w:rPr>
          <w:rFonts w:ascii="Times New Roman" w:hAnsi="Times New Roman" w:cs="Times New Roman"/>
          <w:bCs/>
          <w:sz w:val="24"/>
          <w:szCs w:val="24"/>
        </w:rPr>
        <w:t>Transforming access to higher education, particularly for lower socio-economic students (SES)  and the promotion of greater equity and diversity by allocating funding on the basis of student-demand</w:t>
      </w:r>
      <w:r w:rsidR="00524F58">
        <w:rPr>
          <w:rFonts w:ascii="Times New Roman" w:hAnsi="Times New Roman" w:cs="Times New Roman"/>
          <w:bCs/>
          <w:sz w:val="24"/>
          <w:szCs w:val="24"/>
        </w:rPr>
        <w:t>, and greater income support for students who most need it;</w:t>
      </w:r>
    </w:p>
    <w:p w:rsidR="008803FC" w:rsidRDefault="008803FC" w:rsidP="002E281B">
      <w:pPr>
        <w:pStyle w:val="ListParagraph"/>
        <w:numPr>
          <w:ilvl w:val="0"/>
          <w:numId w:val="8"/>
        </w:numPr>
        <w:spacing w:line="360" w:lineRule="auto"/>
        <w:rPr>
          <w:rFonts w:ascii="Times New Roman" w:hAnsi="Times New Roman" w:cs="Times New Roman"/>
          <w:bCs/>
          <w:sz w:val="24"/>
          <w:szCs w:val="24"/>
        </w:rPr>
      </w:pPr>
      <w:r>
        <w:rPr>
          <w:rFonts w:ascii="Times New Roman" w:hAnsi="Times New Roman" w:cs="Times New Roman"/>
          <w:bCs/>
          <w:sz w:val="24"/>
          <w:szCs w:val="24"/>
        </w:rPr>
        <w:t>Promoting a sustainable sector in terms of funding for teaching and learning, and research;</w:t>
      </w:r>
    </w:p>
    <w:p w:rsidR="008803FC" w:rsidRDefault="008803FC" w:rsidP="002E281B">
      <w:pPr>
        <w:pStyle w:val="ListParagraph"/>
        <w:numPr>
          <w:ilvl w:val="0"/>
          <w:numId w:val="8"/>
        </w:numPr>
        <w:spacing w:line="360" w:lineRule="auto"/>
        <w:rPr>
          <w:rFonts w:ascii="Times New Roman" w:hAnsi="Times New Roman" w:cs="Times New Roman"/>
          <w:bCs/>
          <w:sz w:val="24"/>
          <w:szCs w:val="24"/>
        </w:rPr>
      </w:pPr>
      <w:r>
        <w:rPr>
          <w:rFonts w:ascii="Times New Roman" w:hAnsi="Times New Roman" w:cs="Times New Roman"/>
          <w:bCs/>
          <w:sz w:val="24"/>
          <w:szCs w:val="24"/>
        </w:rPr>
        <w:t>Enhancing quality</w:t>
      </w:r>
      <w:r w:rsidR="00524F58">
        <w:rPr>
          <w:rFonts w:ascii="Times New Roman" w:hAnsi="Times New Roman" w:cs="Times New Roman"/>
          <w:bCs/>
          <w:sz w:val="24"/>
          <w:szCs w:val="24"/>
        </w:rPr>
        <w:t xml:space="preserve"> and accreditation;</w:t>
      </w:r>
    </w:p>
    <w:p w:rsidR="00524F58" w:rsidRDefault="00524F58" w:rsidP="002E281B">
      <w:pPr>
        <w:pStyle w:val="ListParagraph"/>
        <w:numPr>
          <w:ilvl w:val="0"/>
          <w:numId w:val="8"/>
        </w:numPr>
        <w:spacing w:line="360" w:lineRule="auto"/>
        <w:rPr>
          <w:rFonts w:ascii="Times New Roman" w:hAnsi="Times New Roman" w:cs="Times New Roman"/>
          <w:bCs/>
          <w:sz w:val="24"/>
          <w:szCs w:val="24"/>
        </w:rPr>
      </w:pPr>
      <w:r>
        <w:rPr>
          <w:rFonts w:ascii="Times New Roman" w:hAnsi="Times New Roman" w:cs="Times New Roman"/>
          <w:bCs/>
          <w:sz w:val="24"/>
          <w:szCs w:val="24"/>
        </w:rPr>
        <w:t>Improving tertiary pathways and ‘greater connectivity’ between universities and the VET sector;</w:t>
      </w:r>
    </w:p>
    <w:p w:rsidR="00524F58" w:rsidRPr="008803FC" w:rsidRDefault="00524F58" w:rsidP="002E281B">
      <w:pPr>
        <w:pStyle w:val="ListParagraph"/>
        <w:numPr>
          <w:ilvl w:val="0"/>
          <w:numId w:val="8"/>
        </w:numPr>
        <w:spacing w:line="360" w:lineRule="auto"/>
        <w:rPr>
          <w:rFonts w:ascii="Times New Roman" w:hAnsi="Times New Roman" w:cs="Times New Roman"/>
          <w:bCs/>
          <w:sz w:val="24"/>
          <w:szCs w:val="24"/>
        </w:rPr>
      </w:pPr>
      <w:r>
        <w:rPr>
          <w:rFonts w:ascii="Times New Roman" w:hAnsi="Times New Roman" w:cs="Times New Roman"/>
          <w:bCs/>
          <w:sz w:val="24"/>
          <w:szCs w:val="24"/>
        </w:rPr>
        <w:t>Creating a new stronger relationship between Government and educators, with agreed funding ‘compacts’.</w:t>
      </w:r>
    </w:p>
    <w:p w:rsidR="007C682C" w:rsidRDefault="00C56DD0" w:rsidP="005019E7">
      <w:pPr>
        <w:spacing w:before="240" w:line="360" w:lineRule="auto"/>
        <w:rPr>
          <w:rFonts w:ascii="Times New Roman" w:hAnsi="Times New Roman" w:cs="Times New Roman"/>
          <w:bCs/>
          <w:sz w:val="24"/>
          <w:szCs w:val="24"/>
        </w:rPr>
      </w:pPr>
      <w:r>
        <w:rPr>
          <w:rFonts w:ascii="Times New Roman" w:hAnsi="Times New Roman" w:cs="Times New Roman"/>
          <w:bCs/>
          <w:sz w:val="24"/>
          <w:szCs w:val="24"/>
        </w:rPr>
        <w:t xml:space="preserve">The </w:t>
      </w:r>
      <w:r w:rsidR="002111D9">
        <w:rPr>
          <w:rFonts w:ascii="Times New Roman" w:hAnsi="Times New Roman" w:cs="Times New Roman"/>
          <w:bCs/>
          <w:sz w:val="24"/>
          <w:szCs w:val="24"/>
        </w:rPr>
        <w:t>two fundamental aims</w:t>
      </w:r>
      <w:r>
        <w:rPr>
          <w:rFonts w:ascii="Times New Roman" w:hAnsi="Times New Roman" w:cs="Times New Roman"/>
          <w:bCs/>
          <w:sz w:val="24"/>
          <w:szCs w:val="24"/>
        </w:rPr>
        <w:t xml:space="preserve"> at its core</w:t>
      </w:r>
      <w:r w:rsidR="00F05600">
        <w:rPr>
          <w:rFonts w:ascii="Times New Roman" w:hAnsi="Times New Roman" w:cs="Times New Roman"/>
          <w:bCs/>
          <w:sz w:val="24"/>
          <w:szCs w:val="24"/>
        </w:rPr>
        <w:t>, in anyt</w:t>
      </w:r>
      <w:r>
        <w:rPr>
          <w:rFonts w:ascii="Times New Roman" w:hAnsi="Times New Roman" w:cs="Times New Roman"/>
          <w:bCs/>
          <w:sz w:val="24"/>
          <w:szCs w:val="24"/>
        </w:rPr>
        <w:t>hing les</w:t>
      </w:r>
      <w:r w:rsidR="00416CFA">
        <w:rPr>
          <w:rFonts w:ascii="Times New Roman" w:hAnsi="Times New Roman" w:cs="Times New Roman"/>
          <w:bCs/>
          <w:sz w:val="24"/>
          <w:szCs w:val="24"/>
        </w:rPr>
        <w:t>s than an ideal world, could create tensions.  The first i</w:t>
      </w:r>
      <w:r w:rsidR="002111D9">
        <w:rPr>
          <w:rFonts w:ascii="Times New Roman" w:hAnsi="Times New Roman" w:cs="Times New Roman"/>
          <w:bCs/>
          <w:sz w:val="24"/>
          <w:szCs w:val="24"/>
        </w:rPr>
        <w:t xml:space="preserve">s </w:t>
      </w:r>
      <w:r w:rsidR="00583DA3">
        <w:rPr>
          <w:rFonts w:ascii="Times New Roman" w:hAnsi="Times New Roman" w:cs="Times New Roman"/>
          <w:bCs/>
          <w:sz w:val="24"/>
          <w:szCs w:val="24"/>
        </w:rPr>
        <w:t>the establishment of national regulato</w:t>
      </w:r>
      <w:r w:rsidR="002111D9">
        <w:rPr>
          <w:rFonts w:ascii="Times New Roman" w:hAnsi="Times New Roman" w:cs="Times New Roman"/>
          <w:bCs/>
          <w:sz w:val="24"/>
          <w:szCs w:val="24"/>
        </w:rPr>
        <w:t xml:space="preserve">rs, and second </w:t>
      </w:r>
      <w:r w:rsidR="00416CFA">
        <w:rPr>
          <w:rFonts w:ascii="Times New Roman" w:hAnsi="Times New Roman" w:cs="Times New Roman"/>
          <w:bCs/>
          <w:sz w:val="24"/>
          <w:szCs w:val="24"/>
        </w:rPr>
        <w:t>directs the sector to widening participation, which, in the absence of drastic overhaul of the compulsory education sector, must inevitably lead to lowering of admission standards</w:t>
      </w:r>
      <w:r w:rsidR="00F05600">
        <w:rPr>
          <w:rFonts w:ascii="Times New Roman" w:hAnsi="Times New Roman" w:cs="Times New Roman"/>
          <w:bCs/>
          <w:sz w:val="24"/>
          <w:szCs w:val="24"/>
        </w:rPr>
        <w:t>.</w:t>
      </w:r>
      <w:r w:rsidR="00C104C8">
        <w:rPr>
          <w:rFonts w:ascii="Times New Roman" w:hAnsi="Times New Roman" w:cs="Times New Roman"/>
          <w:bCs/>
          <w:sz w:val="24"/>
          <w:szCs w:val="24"/>
        </w:rPr>
        <w:t xml:space="preserve">  </w:t>
      </w:r>
      <w:r w:rsidR="00617B73">
        <w:rPr>
          <w:rFonts w:ascii="Times New Roman" w:hAnsi="Times New Roman" w:cs="Times New Roman"/>
          <w:bCs/>
          <w:sz w:val="24"/>
          <w:szCs w:val="24"/>
        </w:rPr>
        <w:t xml:space="preserve">The </w:t>
      </w:r>
      <w:r w:rsidR="00524F58">
        <w:rPr>
          <w:rFonts w:ascii="Times New Roman" w:hAnsi="Times New Roman" w:cs="Times New Roman"/>
          <w:bCs/>
          <w:sz w:val="24"/>
          <w:szCs w:val="24"/>
        </w:rPr>
        <w:t xml:space="preserve">strengthening and </w:t>
      </w:r>
      <w:r w:rsidR="00583DA3">
        <w:rPr>
          <w:rFonts w:ascii="Times New Roman" w:hAnsi="Times New Roman" w:cs="Times New Roman"/>
          <w:bCs/>
          <w:sz w:val="24"/>
          <w:szCs w:val="24"/>
        </w:rPr>
        <w:t>transforming access to higher education by low so</w:t>
      </w:r>
      <w:r w:rsidR="00524F58">
        <w:rPr>
          <w:rFonts w:ascii="Times New Roman" w:hAnsi="Times New Roman" w:cs="Times New Roman"/>
          <w:bCs/>
          <w:sz w:val="24"/>
          <w:szCs w:val="24"/>
        </w:rPr>
        <w:t>cio-econ</w:t>
      </w:r>
      <w:r w:rsidR="00416CFA">
        <w:rPr>
          <w:rFonts w:ascii="Times New Roman" w:hAnsi="Times New Roman" w:cs="Times New Roman"/>
          <w:bCs/>
          <w:sz w:val="24"/>
          <w:szCs w:val="24"/>
        </w:rPr>
        <w:t>omic students (SES) is to be</w:t>
      </w:r>
      <w:r w:rsidR="00617B73">
        <w:rPr>
          <w:rFonts w:ascii="Times New Roman" w:hAnsi="Times New Roman" w:cs="Times New Roman"/>
          <w:bCs/>
          <w:sz w:val="24"/>
          <w:szCs w:val="24"/>
        </w:rPr>
        <w:t xml:space="preserve"> facilitated </w:t>
      </w:r>
      <w:r w:rsidR="00524F58">
        <w:rPr>
          <w:rFonts w:ascii="Times New Roman" w:hAnsi="Times New Roman" w:cs="Times New Roman"/>
          <w:bCs/>
          <w:sz w:val="24"/>
          <w:szCs w:val="24"/>
        </w:rPr>
        <w:t xml:space="preserve">by </w:t>
      </w:r>
      <w:r w:rsidR="00583DA3">
        <w:rPr>
          <w:rFonts w:ascii="Times New Roman" w:hAnsi="Times New Roman" w:cs="Times New Roman"/>
          <w:bCs/>
          <w:sz w:val="24"/>
          <w:szCs w:val="24"/>
        </w:rPr>
        <w:t xml:space="preserve">a new system of allocating </w:t>
      </w:r>
      <w:r w:rsidR="00047F43">
        <w:rPr>
          <w:rFonts w:ascii="Times New Roman" w:hAnsi="Times New Roman" w:cs="Times New Roman"/>
          <w:bCs/>
          <w:sz w:val="24"/>
          <w:szCs w:val="24"/>
        </w:rPr>
        <w:t xml:space="preserve">Commonwealth </w:t>
      </w:r>
      <w:r w:rsidR="00583DA3">
        <w:rPr>
          <w:rFonts w:ascii="Times New Roman" w:hAnsi="Times New Roman" w:cs="Times New Roman"/>
          <w:bCs/>
          <w:sz w:val="24"/>
          <w:szCs w:val="24"/>
        </w:rPr>
        <w:t>funding based on student demand</w:t>
      </w:r>
      <w:r w:rsidR="00047F43">
        <w:rPr>
          <w:rFonts w:ascii="Times New Roman" w:hAnsi="Times New Roman" w:cs="Times New Roman"/>
          <w:bCs/>
          <w:sz w:val="24"/>
          <w:szCs w:val="24"/>
        </w:rPr>
        <w:t xml:space="preserve">.  </w:t>
      </w:r>
      <w:r w:rsidR="00524F58">
        <w:rPr>
          <w:rFonts w:ascii="Times New Roman" w:hAnsi="Times New Roman" w:cs="Times New Roman"/>
          <w:bCs/>
          <w:sz w:val="24"/>
          <w:szCs w:val="24"/>
        </w:rPr>
        <w:t>The improvement of</w:t>
      </w:r>
      <w:r w:rsidR="00047F43">
        <w:rPr>
          <w:rFonts w:ascii="Times New Roman" w:hAnsi="Times New Roman" w:cs="Times New Roman"/>
          <w:bCs/>
          <w:sz w:val="24"/>
          <w:szCs w:val="24"/>
        </w:rPr>
        <w:t xml:space="preserve"> pathways between the higher education and the VET sectors</w:t>
      </w:r>
      <w:r w:rsidR="00524F58">
        <w:rPr>
          <w:rFonts w:ascii="Times New Roman" w:hAnsi="Times New Roman" w:cs="Times New Roman"/>
          <w:bCs/>
          <w:sz w:val="24"/>
          <w:szCs w:val="24"/>
        </w:rPr>
        <w:t xml:space="preserve"> was to be achieved through the establishment of a single Ministerial Council able to focus on the sector across the states, territories and the </w:t>
      </w:r>
      <w:r w:rsidR="00524F58">
        <w:rPr>
          <w:rFonts w:ascii="Times New Roman" w:hAnsi="Times New Roman" w:cs="Times New Roman"/>
          <w:bCs/>
          <w:sz w:val="24"/>
          <w:szCs w:val="24"/>
        </w:rPr>
        <w:lastRenderedPageBreak/>
        <w:t>Commonwealth</w:t>
      </w:r>
      <w:r w:rsidR="005019E7">
        <w:rPr>
          <w:rFonts w:ascii="Times New Roman" w:hAnsi="Times New Roman" w:cs="Times New Roman"/>
          <w:bCs/>
          <w:sz w:val="24"/>
          <w:szCs w:val="24"/>
        </w:rPr>
        <w:t xml:space="preserve">.  </w:t>
      </w:r>
      <w:r w:rsidR="005019E7">
        <w:rPr>
          <w:rFonts w:ascii="Times New Roman" w:hAnsi="Times New Roman" w:cs="Times New Roman"/>
          <w:sz w:val="24"/>
          <w:szCs w:val="24"/>
        </w:rPr>
        <w:t xml:space="preserve">This body is now constituted as the </w:t>
      </w:r>
      <w:r w:rsidR="005019E7" w:rsidRPr="00B6620A">
        <w:rPr>
          <w:rFonts w:ascii="Times New Roman" w:hAnsi="Times New Roman" w:cs="Times New Roman"/>
          <w:sz w:val="24"/>
          <w:szCs w:val="24"/>
        </w:rPr>
        <w:t>COAG</w:t>
      </w:r>
      <w:r w:rsidR="005019E7">
        <w:rPr>
          <w:rStyle w:val="FootnoteReference"/>
          <w:sz w:val="24"/>
          <w:szCs w:val="24"/>
        </w:rPr>
        <w:footnoteReference w:id="26"/>
      </w:r>
      <w:r w:rsidR="005019E7" w:rsidRPr="00B6620A">
        <w:rPr>
          <w:rFonts w:ascii="Times New Roman" w:hAnsi="Times New Roman" w:cs="Times New Roman"/>
          <w:sz w:val="24"/>
          <w:szCs w:val="24"/>
        </w:rPr>
        <w:t xml:space="preserve"> Standing Council on Tertiary Education, Skills and Employment (SCOTESE).</w:t>
      </w:r>
      <w:r>
        <w:rPr>
          <w:rStyle w:val="FootnoteReference"/>
          <w:sz w:val="24"/>
          <w:szCs w:val="24"/>
        </w:rPr>
        <w:footnoteReference w:id="27"/>
      </w:r>
      <w:r w:rsidR="005019E7" w:rsidRPr="00B6620A">
        <w:rPr>
          <w:rFonts w:ascii="Times New Roman" w:hAnsi="Times New Roman" w:cs="Times New Roman"/>
          <w:sz w:val="24"/>
          <w:szCs w:val="24"/>
        </w:rPr>
        <w:t xml:space="preserve">  </w:t>
      </w:r>
      <w:r w:rsidR="005019E7">
        <w:rPr>
          <w:rFonts w:ascii="Times New Roman" w:hAnsi="Times New Roman" w:cs="Times New Roman"/>
          <w:sz w:val="24"/>
          <w:szCs w:val="24"/>
        </w:rPr>
        <w:t xml:space="preserve">Also, the body known as the </w:t>
      </w:r>
      <w:r w:rsidR="005F6C1C">
        <w:rPr>
          <w:rFonts w:ascii="Times New Roman" w:hAnsi="Times New Roman" w:cs="Times New Roman"/>
          <w:bCs/>
          <w:sz w:val="24"/>
          <w:szCs w:val="24"/>
        </w:rPr>
        <w:t xml:space="preserve">Australian Qualifications Council </w:t>
      </w:r>
      <w:r w:rsidR="005019E7">
        <w:rPr>
          <w:rFonts w:ascii="Times New Roman" w:hAnsi="Times New Roman" w:cs="Times New Roman"/>
          <w:bCs/>
          <w:sz w:val="24"/>
          <w:szCs w:val="24"/>
        </w:rPr>
        <w:t xml:space="preserve">would </w:t>
      </w:r>
      <w:r w:rsidR="005F6C1C">
        <w:rPr>
          <w:rFonts w:ascii="Times New Roman" w:hAnsi="Times New Roman" w:cs="Times New Roman"/>
          <w:bCs/>
          <w:sz w:val="24"/>
          <w:szCs w:val="24"/>
        </w:rPr>
        <w:t xml:space="preserve">focus on connectivity and articulation between the </w:t>
      </w:r>
      <w:r w:rsidR="005019E7">
        <w:rPr>
          <w:rFonts w:ascii="Times New Roman" w:hAnsi="Times New Roman" w:cs="Times New Roman"/>
          <w:bCs/>
          <w:sz w:val="24"/>
          <w:szCs w:val="24"/>
        </w:rPr>
        <w:t xml:space="preserve">tertiary education </w:t>
      </w:r>
      <w:r w:rsidR="005F6C1C">
        <w:rPr>
          <w:rFonts w:ascii="Times New Roman" w:hAnsi="Times New Roman" w:cs="Times New Roman"/>
          <w:bCs/>
          <w:sz w:val="24"/>
          <w:szCs w:val="24"/>
        </w:rPr>
        <w:t>sectors.</w:t>
      </w:r>
      <w:r w:rsidR="005F6C1C">
        <w:rPr>
          <w:rStyle w:val="FootnoteReference"/>
          <w:bCs/>
          <w:sz w:val="24"/>
          <w:szCs w:val="24"/>
        </w:rPr>
        <w:footnoteReference w:id="28"/>
      </w:r>
      <w:r w:rsidR="005F6C1C">
        <w:rPr>
          <w:rFonts w:ascii="Times New Roman" w:hAnsi="Times New Roman" w:cs="Times New Roman"/>
          <w:bCs/>
          <w:sz w:val="24"/>
          <w:szCs w:val="24"/>
        </w:rPr>
        <w:t xml:space="preserve">  </w:t>
      </w:r>
    </w:p>
    <w:p w:rsidR="006C67CE" w:rsidRPr="005019E7" w:rsidRDefault="00F05600" w:rsidP="005019E7">
      <w:pPr>
        <w:spacing w:before="240" w:line="360" w:lineRule="auto"/>
        <w:rPr>
          <w:rFonts w:ascii="Times New Roman" w:hAnsi="Times New Roman" w:cs="Times New Roman"/>
          <w:sz w:val="24"/>
          <w:szCs w:val="24"/>
        </w:rPr>
      </w:pPr>
      <w:r>
        <w:rPr>
          <w:rFonts w:ascii="Times New Roman" w:hAnsi="Times New Roman" w:cs="Times New Roman"/>
          <w:bCs/>
          <w:sz w:val="24"/>
          <w:szCs w:val="24"/>
        </w:rPr>
        <w:t>Building a new relationship between gover</w:t>
      </w:r>
      <w:r w:rsidR="007C682C">
        <w:rPr>
          <w:rFonts w:ascii="Times New Roman" w:hAnsi="Times New Roman" w:cs="Times New Roman"/>
          <w:bCs/>
          <w:sz w:val="24"/>
          <w:szCs w:val="24"/>
        </w:rPr>
        <w:t>nment and education providers i</w:t>
      </w:r>
      <w:r>
        <w:rPr>
          <w:rFonts w:ascii="Times New Roman" w:hAnsi="Times New Roman" w:cs="Times New Roman"/>
          <w:bCs/>
          <w:sz w:val="24"/>
          <w:szCs w:val="24"/>
        </w:rPr>
        <w:t xml:space="preserve">s to be based on agreed mission-based compacts with each university in respect of both research and teaching and learning (known as Facilitation and Performance Compacts).  </w:t>
      </w:r>
      <w:r w:rsidR="007C682C">
        <w:rPr>
          <w:rFonts w:ascii="Times New Roman" w:hAnsi="Times New Roman" w:cs="Times New Roman"/>
          <w:bCs/>
          <w:sz w:val="24"/>
          <w:szCs w:val="24"/>
        </w:rPr>
        <w:t>These Compacts are key to the achievement of the government’s goals for higher education.</w:t>
      </w:r>
      <w:r w:rsidR="007C682C">
        <w:rPr>
          <w:rStyle w:val="FootnoteReference"/>
          <w:bCs/>
          <w:sz w:val="24"/>
          <w:szCs w:val="24"/>
        </w:rPr>
        <w:footnoteReference w:id="29"/>
      </w:r>
      <w:r w:rsidR="007C682C">
        <w:rPr>
          <w:rFonts w:ascii="Times New Roman" w:hAnsi="Times New Roman" w:cs="Times New Roman"/>
          <w:bCs/>
          <w:sz w:val="24"/>
          <w:szCs w:val="24"/>
        </w:rPr>
        <w:t xml:space="preserve">   Essentially, they are based on specific performance targets for universities, and attendant reward funding for achieving specific aims in line with government strategy. They are three year agreements which enable universities to set out their </w:t>
      </w:r>
      <w:r w:rsidR="00DF622C">
        <w:rPr>
          <w:rFonts w:ascii="Times New Roman" w:hAnsi="Times New Roman" w:cs="Times New Roman"/>
          <w:bCs/>
          <w:sz w:val="24"/>
          <w:szCs w:val="24"/>
        </w:rPr>
        <w:t xml:space="preserve">own </w:t>
      </w:r>
      <w:r w:rsidR="007C682C">
        <w:rPr>
          <w:rFonts w:ascii="Times New Roman" w:hAnsi="Times New Roman" w:cs="Times New Roman"/>
          <w:bCs/>
          <w:sz w:val="24"/>
          <w:szCs w:val="24"/>
        </w:rPr>
        <w:t xml:space="preserve">missions </w:t>
      </w:r>
      <w:r w:rsidR="00DF622C">
        <w:rPr>
          <w:rFonts w:ascii="Times New Roman" w:hAnsi="Times New Roman" w:cs="Times New Roman"/>
          <w:bCs/>
          <w:sz w:val="24"/>
          <w:szCs w:val="24"/>
        </w:rPr>
        <w:t xml:space="preserve">which are distinctive but </w:t>
      </w:r>
      <w:r w:rsidR="007C682C">
        <w:rPr>
          <w:rFonts w:ascii="Times New Roman" w:hAnsi="Times New Roman" w:cs="Times New Roman"/>
          <w:bCs/>
          <w:sz w:val="24"/>
          <w:szCs w:val="24"/>
        </w:rPr>
        <w:t>in line with the national objectives for higher education.  They are however mechanisms for accountability of universities for the government’s investment.</w:t>
      </w:r>
      <w:r w:rsidR="00047F43">
        <w:rPr>
          <w:rFonts w:ascii="Times New Roman" w:hAnsi="Times New Roman" w:cs="Times New Roman"/>
          <w:bCs/>
          <w:sz w:val="24"/>
          <w:szCs w:val="24"/>
        </w:rPr>
        <w:t xml:space="preserve"> </w:t>
      </w:r>
      <w:r w:rsidR="007D056D">
        <w:rPr>
          <w:rFonts w:ascii="Times New Roman" w:hAnsi="Times New Roman" w:cs="Times New Roman"/>
          <w:bCs/>
          <w:sz w:val="24"/>
          <w:szCs w:val="24"/>
        </w:rPr>
        <w:t xml:space="preserve"> A preservation of academic freedom is legislated for in</w:t>
      </w:r>
      <w:r w:rsidR="00DF622C">
        <w:rPr>
          <w:rFonts w:ascii="Times New Roman" w:hAnsi="Times New Roman" w:cs="Times New Roman"/>
          <w:bCs/>
          <w:sz w:val="24"/>
          <w:szCs w:val="24"/>
        </w:rPr>
        <w:t xml:space="preserve"> a provision which states that </w:t>
      </w:r>
      <w:r w:rsidR="007D056D">
        <w:rPr>
          <w:rFonts w:ascii="Times New Roman" w:hAnsi="Times New Roman" w:cs="Times New Roman"/>
          <w:bCs/>
          <w:sz w:val="24"/>
          <w:szCs w:val="24"/>
        </w:rPr>
        <w:t>each “Table A” and Table B” higher education provider, essentially public and private universities, must have a policy ‘that upholds free intellectual inquiry in relation to learning, teaching and research’.</w:t>
      </w:r>
      <w:r w:rsidR="007D056D">
        <w:rPr>
          <w:rStyle w:val="FootnoteReference"/>
          <w:bCs/>
          <w:sz w:val="24"/>
          <w:szCs w:val="24"/>
        </w:rPr>
        <w:footnoteReference w:id="30"/>
      </w:r>
      <w:r w:rsidR="00416CFA">
        <w:rPr>
          <w:rFonts w:ascii="Times New Roman" w:hAnsi="Times New Roman" w:cs="Times New Roman"/>
          <w:bCs/>
          <w:sz w:val="24"/>
          <w:szCs w:val="24"/>
        </w:rPr>
        <w:t xml:space="preserve"> The extent of national regulation and standards prescription however cannot fail to give rise to questions relating to the extent of true individual autonomy.</w:t>
      </w:r>
    </w:p>
    <w:p w:rsidR="008803FC" w:rsidRPr="005019E7" w:rsidRDefault="008803FC" w:rsidP="005019E7">
      <w:pPr>
        <w:spacing w:before="240" w:line="360" w:lineRule="auto"/>
        <w:rPr>
          <w:rFonts w:ascii="Times New Roman" w:hAnsi="Times New Roman" w:cs="Times New Roman"/>
          <w:sz w:val="24"/>
          <w:szCs w:val="24"/>
        </w:rPr>
      </w:pPr>
      <w:r>
        <w:rPr>
          <w:rFonts w:ascii="Times New Roman" w:hAnsi="Times New Roman" w:cs="Times New Roman"/>
          <w:bCs/>
          <w:sz w:val="24"/>
          <w:szCs w:val="24"/>
        </w:rPr>
        <w:t>The speed of implementation of the recommendations</w:t>
      </w:r>
      <w:r w:rsidR="00125BEB">
        <w:rPr>
          <w:rFonts w:ascii="Times New Roman" w:hAnsi="Times New Roman" w:cs="Times New Roman"/>
          <w:bCs/>
          <w:sz w:val="24"/>
          <w:szCs w:val="24"/>
        </w:rPr>
        <w:t xml:space="preserve"> in 2010, 2011 and continuing</w:t>
      </w:r>
      <w:r w:rsidR="00234267">
        <w:rPr>
          <w:rFonts w:ascii="Times New Roman" w:hAnsi="Times New Roman" w:cs="Times New Roman"/>
          <w:bCs/>
          <w:sz w:val="24"/>
          <w:szCs w:val="24"/>
        </w:rPr>
        <w:t>,</w:t>
      </w:r>
      <w:r w:rsidR="00125BEB">
        <w:rPr>
          <w:rFonts w:ascii="Times New Roman" w:hAnsi="Times New Roman" w:cs="Times New Roman"/>
          <w:bCs/>
          <w:sz w:val="24"/>
          <w:szCs w:val="24"/>
        </w:rPr>
        <w:t xml:space="preserve"> </w:t>
      </w:r>
      <w:r w:rsidR="005019E7">
        <w:rPr>
          <w:rFonts w:ascii="Times New Roman" w:hAnsi="Times New Roman" w:cs="Times New Roman"/>
          <w:bCs/>
          <w:sz w:val="24"/>
          <w:szCs w:val="24"/>
        </w:rPr>
        <w:t xml:space="preserve">have </w:t>
      </w:r>
      <w:r>
        <w:rPr>
          <w:rFonts w:ascii="Times New Roman" w:hAnsi="Times New Roman" w:cs="Times New Roman"/>
          <w:bCs/>
          <w:sz w:val="24"/>
          <w:szCs w:val="24"/>
        </w:rPr>
        <w:t>the university and VET sectors ‘dancing on a moving carpet’.</w:t>
      </w:r>
      <w:r w:rsidR="00C56DD0">
        <w:rPr>
          <w:rStyle w:val="FootnoteReference"/>
          <w:bCs/>
          <w:sz w:val="24"/>
          <w:szCs w:val="24"/>
        </w:rPr>
        <w:footnoteReference w:id="31"/>
      </w:r>
    </w:p>
    <w:p w:rsidR="005D29B2" w:rsidRDefault="00AD27A2" w:rsidP="002E281B">
      <w:pPr>
        <w:spacing w:line="360" w:lineRule="auto"/>
        <w:rPr>
          <w:rFonts w:ascii="Times New Roman" w:hAnsi="Times New Roman" w:cs="Times New Roman"/>
          <w:b/>
          <w:bCs/>
          <w:sz w:val="24"/>
          <w:szCs w:val="24"/>
        </w:rPr>
      </w:pPr>
      <w:r>
        <w:rPr>
          <w:rFonts w:ascii="Times New Roman" w:hAnsi="Times New Roman" w:cs="Times New Roman"/>
          <w:b/>
          <w:bCs/>
          <w:sz w:val="24"/>
          <w:szCs w:val="24"/>
        </w:rPr>
        <w:t>Implem</w:t>
      </w:r>
      <w:r w:rsidR="00F50393">
        <w:rPr>
          <w:rFonts w:ascii="Times New Roman" w:hAnsi="Times New Roman" w:cs="Times New Roman"/>
          <w:b/>
          <w:bCs/>
          <w:sz w:val="24"/>
          <w:szCs w:val="24"/>
        </w:rPr>
        <w:t xml:space="preserve">entation </w:t>
      </w:r>
      <w:r w:rsidR="006C67CE">
        <w:rPr>
          <w:rFonts w:ascii="Times New Roman" w:hAnsi="Times New Roman" w:cs="Times New Roman"/>
          <w:b/>
          <w:bCs/>
          <w:sz w:val="24"/>
          <w:szCs w:val="24"/>
        </w:rPr>
        <w:t xml:space="preserve">  </w:t>
      </w:r>
    </w:p>
    <w:p w:rsidR="006C67CE" w:rsidRPr="00F50393" w:rsidRDefault="00AD27A2" w:rsidP="00F50393">
      <w:pPr>
        <w:pStyle w:val="ListParagraph"/>
        <w:numPr>
          <w:ilvl w:val="0"/>
          <w:numId w:val="13"/>
        </w:numPr>
        <w:spacing w:line="360" w:lineRule="auto"/>
        <w:rPr>
          <w:rFonts w:ascii="Times New Roman" w:hAnsi="Times New Roman" w:cs="Times New Roman"/>
          <w:b/>
          <w:bCs/>
          <w:sz w:val="24"/>
          <w:szCs w:val="24"/>
        </w:rPr>
      </w:pPr>
      <w:r w:rsidRPr="00F50393">
        <w:rPr>
          <w:rFonts w:ascii="Times New Roman" w:hAnsi="Times New Roman" w:cs="Times New Roman"/>
          <w:b/>
          <w:bCs/>
          <w:sz w:val="24"/>
          <w:szCs w:val="24"/>
        </w:rPr>
        <w:lastRenderedPageBreak/>
        <w:t xml:space="preserve">The establishment of the national regulatory body: </w:t>
      </w:r>
      <w:r w:rsidR="006C67CE" w:rsidRPr="00F50393">
        <w:rPr>
          <w:rFonts w:ascii="Times New Roman" w:hAnsi="Times New Roman" w:cs="Times New Roman"/>
          <w:b/>
          <w:bCs/>
          <w:sz w:val="24"/>
          <w:szCs w:val="24"/>
        </w:rPr>
        <w:t>The Tertiary Education Quality and Standards Agency</w:t>
      </w:r>
    </w:p>
    <w:p w:rsidR="00E76F0B" w:rsidRPr="00234267" w:rsidRDefault="007F1C05" w:rsidP="00E76F0B">
      <w:pPr>
        <w:spacing w:line="360" w:lineRule="auto"/>
        <w:ind w:right="9"/>
        <w:rPr>
          <w:rFonts w:ascii="Times New Roman" w:hAnsi="Times New Roman" w:cs="Times New Roman"/>
          <w:bCs/>
          <w:i/>
          <w:sz w:val="24"/>
          <w:szCs w:val="24"/>
        </w:rPr>
      </w:pPr>
      <w:r>
        <w:rPr>
          <w:rFonts w:ascii="Times New Roman" w:hAnsi="Times New Roman" w:cs="Times New Roman"/>
          <w:bCs/>
          <w:sz w:val="24"/>
          <w:szCs w:val="24"/>
        </w:rPr>
        <w:t xml:space="preserve">As heralded by </w:t>
      </w:r>
      <w:r w:rsidR="00E725E4">
        <w:rPr>
          <w:rFonts w:ascii="Times New Roman" w:hAnsi="Times New Roman" w:cs="Times New Roman"/>
          <w:bCs/>
          <w:sz w:val="24"/>
          <w:szCs w:val="24"/>
        </w:rPr>
        <w:t>those announcements</w:t>
      </w:r>
      <w:r>
        <w:rPr>
          <w:rFonts w:ascii="Times New Roman" w:hAnsi="Times New Roman" w:cs="Times New Roman"/>
          <w:bCs/>
          <w:sz w:val="24"/>
          <w:szCs w:val="24"/>
        </w:rPr>
        <w:t xml:space="preserve"> and shortly thereafter, </w:t>
      </w:r>
      <w:r w:rsidR="00E725E4">
        <w:rPr>
          <w:rFonts w:ascii="Times New Roman" w:hAnsi="Times New Roman" w:cs="Times New Roman"/>
          <w:bCs/>
          <w:sz w:val="24"/>
          <w:szCs w:val="24"/>
        </w:rPr>
        <w:t xml:space="preserve">the </w:t>
      </w:r>
      <w:r w:rsidR="00E725E4" w:rsidRPr="00B6620A">
        <w:rPr>
          <w:rFonts w:ascii="Times New Roman" w:hAnsi="Times New Roman" w:cs="Times New Roman"/>
          <w:bCs/>
          <w:sz w:val="24"/>
          <w:szCs w:val="24"/>
        </w:rPr>
        <w:t xml:space="preserve">(CTH) </w:t>
      </w:r>
      <w:r w:rsidR="00E725E4" w:rsidRPr="00B6620A">
        <w:rPr>
          <w:rFonts w:ascii="Times New Roman" w:hAnsi="Times New Roman" w:cs="Times New Roman"/>
          <w:bCs/>
          <w:i/>
          <w:sz w:val="24"/>
          <w:szCs w:val="24"/>
        </w:rPr>
        <w:t>Tertiary Education Quality and Standards Act 2011</w:t>
      </w:r>
      <w:r w:rsidR="00E76F0B">
        <w:rPr>
          <w:rFonts w:ascii="Times New Roman" w:hAnsi="Times New Roman" w:cs="Times New Roman"/>
          <w:bCs/>
          <w:sz w:val="24"/>
          <w:szCs w:val="24"/>
        </w:rPr>
        <w:t xml:space="preserve">was enacted and the </w:t>
      </w:r>
      <w:r w:rsidR="00E725E4">
        <w:rPr>
          <w:rFonts w:ascii="Times New Roman" w:hAnsi="Times New Roman" w:cs="Times New Roman"/>
          <w:bCs/>
          <w:sz w:val="24"/>
          <w:szCs w:val="24"/>
        </w:rPr>
        <w:t>national regulator for higher education</w:t>
      </w:r>
      <w:r w:rsidR="00E76F0B">
        <w:rPr>
          <w:rFonts w:ascii="Times New Roman" w:hAnsi="Times New Roman" w:cs="Times New Roman"/>
          <w:bCs/>
          <w:sz w:val="24"/>
          <w:szCs w:val="24"/>
        </w:rPr>
        <w:t xml:space="preserve"> was </w:t>
      </w:r>
      <w:r w:rsidR="00234267">
        <w:rPr>
          <w:rFonts w:ascii="Times New Roman" w:hAnsi="Times New Roman" w:cs="Times New Roman"/>
          <w:bCs/>
          <w:sz w:val="24"/>
          <w:szCs w:val="24"/>
        </w:rPr>
        <w:t xml:space="preserve">born </w:t>
      </w:r>
      <w:r w:rsidR="00E76F0B">
        <w:rPr>
          <w:rFonts w:ascii="Times New Roman" w:hAnsi="Times New Roman" w:cs="Times New Roman"/>
          <w:bCs/>
          <w:sz w:val="24"/>
          <w:szCs w:val="24"/>
        </w:rPr>
        <w:t>on 30 July 2011</w:t>
      </w:r>
      <w:r w:rsidR="00E725E4">
        <w:rPr>
          <w:rFonts w:ascii="Times New Roman" w:hAnsi="Times New Roman" w:cs="Times New Roman"/>
          <w:bCs/>
          <w:sz w:val="24"/>
          <w:szCs w:val="24"/>
        </w:rPr>
        <w:t xml:space="preserve">.  </w:t>
      </w:r>
      <w:r>
        <w:rPr>
          <w:rFonts w:ascii="Times New Roman" w:hAnsi="Times New Roman" w:cs="Times New Roman"/>
          <w:bCs/>
          <w:sz w:val="24"/>
          <w:szCs w:val="24"/>
        </w:rPr>
        <w:t>The</w:t>
      </w:r>
      <w:r w:rsidR="00F74EF6" w:rsidRPr="00B6620A">
        <w:rPr>
          <w:rFonts w:ascii="Times New Roman" w:hAnsi="Times New Roman" w:cs="Times New Roman"/>
          <w:bCs/>
          <w:sz w:val="24"/>
          <w:szCs w:val="24"/>
        </w:rPr>
        <w:t xml:space="preserve"> legislation covers all providers of higher education</w:t>
      </w:r>
      <w:r>
        <w:rPr>
          <w:rFonts w:ascii="Times New Roman" w:hAnsi="Times New Roman" w:cs="Times New Roman"/>
          <w:bCs/>
          <w:sz w:val="24"/>
          <w:szCs w:val="24"/>
        </w:rPr>
        <w:t xml:space="preserve"> in Australia, public sector and private universities, overseas universities operating in Australia and </w:t>
      </w:r>
      <w:r w:rsidR="00F74EF6" w:rsidRPr="00B6620A">
        <w:rPr>
          <w:rFonts w:ascii="Times New Roman" w:hAnsi="Times New Roman" w:cs="Times New Roman"/>
          <w:bCs/>
          <w:sz w:val="24"/>
          <w:szCs w:val="24"/>
        </w:rPr>
        <w:t xml:space="preserve">private providers </w:t>
      </w:r>
      <w:r>
        <w:rPr>
          <w:rFonts w:ascii="Times New Roman" w:hAnsi="Times New Roman" w:cs="Times New Roman"/>
          <w:bCs/>
          <w:sz w:val="24"/>
          <w:szCs w:val="24"/>
        </w:rPr>
        <w:t>of tertiary education.</w:t>
      </w:r>
      <w:r w:rsidR="00E76F0B">
        <w:rPr>
          <w:rFonts w:ascii="Times New Roman" w:hAnsi="Times New Roman" w:cs="Times New Roman"/>
          <w:bCs/>
          <w:sz w:val="24"/>
          <w:szCs w:val="24"/>
        </w:rPr>
        <w:t xml:space="preserve">  The Act sets out its objects</w:t>
      </w:r>
      <w:r w:rsidR="00E76F0B" w:rsidRPr="00B6620A">
        <w:rPr>
          <w:rFonts w:ascii="Times New Roman" w:hAnsi="Times New Roman" w:cs="Times New Roman"/>
          <w:bCs/>
          <w:sz w:val="24"/>
          <w:szCs w:val="24"/>
        </w:rPr>
        <w:t xml:space="preserve"> as:</w:t>
      </w:r>
      <w:r w:rsidR="00E76F0B" w:rsidRPr="00B6620A">
        <w:rPr>
          <w:rStyle w:val="FootnoteReference"/>
          <w:bCs/>
          <w:sz w:val="24"/>
          <w:szCs w:val="24"/>
        </w:rPr>
        <w:footnoteReference w:id="32"/>
      </w:r>
    </w:p>
    <w:p w:rsidR="00E76F0B" w:rsidRPr="00937AC3" w:rsidRDefault="00E76F0B" w:rsidP="00E76F0B">
      <w:pPr>
        <w:numPr>
          <w:ilvl w:val="0"/>
          <w:numId w:val="1"/>
        </w:numPr>
        <w:autoSpaceDE w:val="0"/>
        <w:autoSpaceDN w:val="0"/>
        <w:adjustRightInd w:val="0"/>
        <w:spacing w:after="0" w:line="360" w:lineRule="auto"/>
        <w:rPr>
          <w:rFonts w:ascii="Times New Roman" w:hAnsi="Times New Roman" w:cs="Times New Roman"/>
          <w:sz w:val="20"/>
          <w:szCs w:val="20"/>
        </w:rPr>
      </w:pPr>
      <w:r w:rsidRPr="00937AC3">
        <w:rPr>
          <w:rFonts w:ascii="Times New Roman" w:hAnsi="Times New Roman" w:cs="Times New Roman"/>
          <w:sz w:val="20"/>
          <w:szCs w:val="20"/>
        </w:rPr>
        <w:t>to provide for national consistency in the regulation of higher education; and to regulate higher education using:</w:t>
      </w:r>
    </w:p>
    <w:p w:rsidR="00E76F0B" w:rsidRPr="00937AC3" w:rsidRDefault="00E76F0B" w:rsidP="00E76F0B">
      <w:pPr>
        <w:numPr>
          <w:ilvl w:val="0"/>
          <w:numId w:val="2"/>
        </w:numPr>
        <w:autoSpaceDE w:val="0"/>
        <w:autoSpaceDN w:val="0"/>
        <w:adjustRightInd w:val="0"/>
        <w:spacing w:after="0" w:line="360" w:lineRule="auto"/>
        <w:rPr>
          <w:rFonts w:ascii="Times New Roman" w:hAnsi="Times New Roman" w:cs="Times New Roman"/>
          <w:sz w:val="20"/>
          <w:szCs w:val="20"/>
        </w:rPr>
      </w:pPr>
      <w:r w:rsidRPr="00937AC3">
        <w:rPr>
          <w:rFonts w:ascii="Times New Roman" w:hAnsi="Times New Roman" w:cs="Times New Roman"/>
          <w:sz w:val="20"/>
          <w:szCs w:val="20"/>
        </w:rPr>
        <w:t>a standards-based quality framework; and</w:t>
      </w:r>
    </w:p>
    <w:p w:rsidR="00E76F0B" w:rsidRPr="00937AC3" w:rsidRDefault="00E76F0B" w:rsidP="00E76F0B">
      <w:pPr>
        <w:numPr>
          <w:ilvl w:val="0"/>
          <w:numId w:val="2"/>
        </w:numPr>
        <w:autoSpaceDE w:val="0"/>
        <w:autoSpaceDN w:val="0"/>
        <w:adjustRightInd w:val="0"/>
        <w:spacing w:after="0" w:line="360" w:lineRule="auto"/>
        <w:rPr>
          <w:rFonts w:ascii="Times New Roman" w:hAnsi="Times New Roman" w:cs="Times New Roman"/>
          <w:sz w:val="20"/>
          <w:szCs w:val="20"/>
        </w:rPr>
      </w:pPr>
      <w:r w:rsidRPr="00937AC3">
        <w:rPr>
          <w:rFonts w:ascii="Times New Roman" w:hAnsi="Times New Roman" w:cs="Times New Roman"/>
          <w:sz w:val="20"/>
          <w:szCs w:val="20"/>
        </w:rPr>
        <w:t>principles relating to regulatory necessity, risk and proportionality; and</w:t>
      </w:r>
    </w:p>
    <w:p w:rsidR="00E76F0B" w:rsidRPr="00937AC3" w:rsidRDefault="00E76F0B" w:rsidP="00E76F0B">
      <w:pPr>
        <w:numPr>
          <w:ilvl w:val="0"/>
          <w:numId w:val="1"/>
        </w:numPr>
        <w:autoSpaceDE w:val="0"/>
        <w:autoSpaceDN w:val="0"/>
        <w:adjustRightInd w:val="0"/>
        <w:spacing w:after="0" w:line="360" w:lineRule="auto"/>
        <w:rPr>
          <w:rFonts w:ascii="Times New Roman" w:hAnsi="Times New Roman" w:cs="Times New Roman"/>
          <w:sz w:val="20"/>
          <w:szCs w:val="20"/>
        </w:rPr>
      </w:pPr>
      <w:r w:rsidRPr="00937AC3">
        <w:rPr>
          <w:rFonts w:ascii="Times New Roman" w:hAnsi="Times New Roman" w:cs="Times New Roman"/>
          <w:sz w:val="20"/>
          <w:szCs w:val="20"/>
        </w:rPr>
        <w:t>to protect and enhance: Australia’s reputation for quality in higher education and training, Australia’s international competitiveness and excellence, diversity and innovation in the higher education sector;</w:t>
      </w:r>
    </w:p>
    <w:p w:rsidR="00E76F0B" w:rsidRPr="00937AC3" w:rsidRDefault="00E76F0B" w:rsidP="00E76F0B">
      <w:pPr>
        <w:numPr>
          <w:ilvl w:val="0"/>
          <w:numId w:val="1"/>
        </w:numPr>
        <w:autoSpaceDE w:val="0"/>
        <w:autoSpaceDN w:val="0"/>
        <w:adjustRightInd w:val="0"/>
        <w:spacing w:after="0" w:line="360" w:lineRule="auto"/>
        <w:rPr>
          <w:rFonts w:ascii="Times New Roman" w:hAnsi="Times New Roman" w:cs="Times New Roman"/>
          <w:sz w:val="20"/>
          <w:szCs w:val="20"/>
        </w:rPr>
      </w:pPr>
      <w:r w:rsidRPr="00937AC3">
        <w:rPr>
          <w:rFonts w:ascii="Times New Roman" w:hAnsi="Times New Roman" w:cs="Times New Roman"/>
          <w:sz w:val="20"/>
          <w:szCs w:val="20"/>
        </w:rPr>
        <w:t>to encourage a higher education system that is appropriate to Australia’s social and economic needs, to protect students by requiring quality in higher education, and to ensure that students undertaking higher education have access to information.</w:t>
      </w:r>
      <w:r w:rsidRPr="00937AC3">
        <w:rPr>
          <w:rStyle w:val="FootnoteReference"/>
          <w:sz w:val="20"/>
          <w:szCs w:val="20"/>
        </w:rPr>
        <w:footnoteReference w:id="33"/>
      </w:r>
      <w:r w:rsidRPr="00937AC3">
        <w:rPr>
          <w:rFonts w:ascii="Times New Roman" w:hAnsi="Times New Roman" w:cs="Times New Roman"/>
          <w:sz w:val="20"/>
          <w:szCs w:val="20"/>
        </w:rPr>
        <w:t xml:space="preserve"> </w:t>
      </w:r>
    </w:p>
    <w:p w:rsidR="00E76F0B" w:rsidRDefault="00E76F0B" w:rsidP="00E76F0B">
      <w:pPr>
        <w:spacing w:line="360" w:lineRule="auto"/>
        <w:ind w:right="9"/>
        <w:rPr>
          <w:rFonts w:ascii="Times New Roman" w:hAnsi="Times New Roman" w:cs="Times New Roman"/>
          <w:b/>
          <w:sz w:val="24"/>
          <w:szCs w:val="24"/>
        </w:rPr>
      </w:pPr>
    </w:p>
    <w:p w:rsidR="00670568" w:rsidRDefault="00E76F0B" w:rsidP="00E76F0B">
      <w:pPr>
        <w:spacing w:line="360" w:lineRule="auto"/>
        <w:ind w:right="9"/>
        <w:rPr>
          <w:rFonts w:ascii="Times New Roman" w:hAnsi="Times New Roman" w:cs="Times New Roman"/>
          <w:bCs/>
          <w:sz w:val="24"/>
          <w:szCs w:val="24"/>
        </w:rPr>
      </w:pPr>
      <w:r>
        <w:rPr>
          <w:rFonts w:ascii="Times New Roman" w:hAnsi="Times New Roman" w:cs="Times New Roman"/>
          <w:bCs/>
          <w:sz w:val="24"/>
          <w:szCs w:val="24"/>
        </w:rPr>
        <w:t xml:space="preserve">Since 1 January 2012, the </w:t>
      </w:r>
      <w:r w:rsidR="00F7016A" w:rsidRPr="00B6620A">
        <w:rPr>
          <w:rFonts w:ascii="Times New Roman" w:hAnsi="Times New Roman" w:cs="Times New Roman"/>
          <w:bCs/>
          <w:sz w:val="24"/>
          <w:szCs w:val="24"/>
        </w:rPr>
        <w:t xml:space="preserve">Tertiary Education Quality </w:t>
      </w:r>
      <w:r>
        <w:rPr>
          <w:rFonts w:ascii="Times New Roman" w:hAnsi="Times New Roman" w:cs="Times New Roman"/>
          <w:bCs/>
          <w:sz w:val="24"/>
          <w:szCs w:val="24"/>
        </w:rPr>
        <w:t xml:space="preserve">and Standards Agency (TEQSA) </w:t>
      </w:r>
      <w:r w:rsidR="00CF098E">
        <w:rPr>
          <w:rFonts w:ascii="Times New Roman" w:hAnsi="Times New Roman" w:cs="Times New Roman"/>
          <w:bCs/>
          <w:sz w:val="24"/>
          <w:szCs w:val="24"/>
        </w:rPr>
        <w:t>has</w:t>
      </w:r>
      <w:r w:rsidR="00F7799A">
        <w:rPr>
          <w:rFonts w:ascii="Times New Roman" w:hAnsi="Times New Roman" w:cs="Times New Roman"/>
          <w:bCs/>
          <w:sz w:val="24"/>
          <w:szCs w:val="24"/>
        </w:rPr>
        <w:t xml:space="preserve"> </w:t>
      </w:r>
      <w:r w:rsidR="00670568">
        <w:rPr>
          <w:rFonts w:ascii="Times New Roman" w:hAnsi="Times New Roman" w:cs="Times New Roman"/>
          <w:bCs/>
          <w:sz w:val="24"/>
          <w:szCs w:val="24"/>
        </w:rPr>
        <w:t xml:space="preserve">had </w:t>
      </w:r>
      <w:r w:rsidR="00F7799A">
        <w:rPr>
          <w:rFonts w:ascii="Times New Roman" w:hAnsi="Times New Roman" w:cs="Times New Roman"/>
          <w:bCs/>
          <w:sz w:val="24"/>
          <w:szCs w:val="24"/>
        </w:rPr>
        <w:t>primary responsibility</w:t>
      </w:r>
      <w:r w:rsidR="00F7016A" w:rsidRPr="00B6620A">
        <w:rPr>
          <w:rFonts w:ascii="Times New Roman" w:hAnsi="Times New Roman" w:cs="Times New Roman"/>
          <w:bCs/>
          <w:sz w:val="24"/>
          <w:szCs w:val="24"/>
        </w:rPr>
        <w:t xml:space="preserve"> for the regulation of hig</w:t>
      </w:r>
      <w:r w:rsidR="00F74EF6">
        <w:rPr>
          <w:rFonts w:ascii="Times New Roman" w:hAnsi="Times New Roman" w:cs="Times New Roman"/>
          <w:bCs/>
          <w:sz w:val="24"/>
          <w:szCs w:val="24"/>
        </w:rPr>
        <w:t>her education in Australia.</w:t>
      </w:r>
    </w:p>
    <w:p w:rsidR="00234267" w:rsidRDefault="00234267" w:rsidP="00E76F0B">
      <w:pPr>
        <w:spacing w:line="360" w:lineRule="auto"/>
        <w:ind w:right="9"/>
        <w:rPr>
          <w:rFonts w:ascii="Times New Roman" w:hAnsi="Times New Roman" w:cs="Times New Roman"/>
          <w:bCs/>
          <w:sz w:val="24"/>
          <w:szCs w:val="24"/>
        </w:rPr>
      </w:pPr>
      <w:r>
        <w:rPr>
          <w:rFonts w:ascii="Times New Roman" w:hAnsi="Times New Roman" w:cs="Times New Roman"/>
          <w:bCs/>
          <w:sz w:val="24"/>
          <w:szCs w:val="24"/>
        </w:rPr>
        <w:t>The role of TEQSA as a preventative and proactive regulator is underpinned by three basic principles, derived from the objects above:</w:t>
      </w:r>
    </w:p>
    <w:p w:rsidR="00C26091" w:rsidRDefault="00C26091" w:rsidP="00C26091">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The principle of regulatory necessity;</w:t>
      </w:r>
    </w:p>
    <w:p w:rsidR="00C26091" w:rsidRDefault="00C26091" w:rsidP="00C26091">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principle of reflecting risk; and </w:t>
      </w:r>
    </w:p>
    <w:p w:rsidR="00C26091" w:rsidRPr="00C26091" w:rsidRDefault="00C26091" w:rsidP="00C26091">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The principle of proportionate regulation.</w:t>
      </w:r>
    </w:p>
    <w:p w:rsidR="00AD27A2" w:rsidRDefault="00C26091" w:rsidP="00670568">
      <w:pPr>
        <w:spacing w:before="120" w:line="360" w:lineRule="auto"/>
        <w:rPr>
          <w:rFonts w:ascii="Times New Roman" w:hAnsi="Times New Roman" w:cs="Times New Roman"/>
          <w:bCs/>
          <w:sz w:val="24"/>
          <w:szCs w:val="24"/>
        </w:rPr>
      </w:pPr>
      <w:r>
        <w:rPr>
          <w:rFonts w:ascii="Times New Roman" w:hAnsi="Times New Roman" w:cs="Times New Roman"/>
          <w:bCs/>
          <w:sz w:val="24"/>
          <w:szCs w:val="24"/>
        </w:rPr>
        <w:t xml:space="preserve">They are </w:t>
      </w:r>
      <w:r w:rsidR="00234267">
        <w:rPr>
          <w:rFonts w:ascii="Times New Roman" w:hAnsi="Times New Roman" w:cs="Times New Roman"/>
          <w:bCs/>
          <w:sz w:val="24"/>
          <w:szCs w:val="24"/>
        </w:rPr>
        <w:t xml:space="preserve">emphasised as </w:t>
      </w:r>
      <w:r w:rsidR="0044502F">
        <w:rPr>
          <w:rFonts w:ascii="Times New Roman" w:hAnsi="Times New Roman" w:cs="Times New Roman"/>
          <w:bCs/>
          <w:sz w:val="24"/>
          <w:szCs w:val="24"/>
        </w:rPr>
        <w:t>be</w:t>
      </w:r>
      <w:r w:rsidR="00234267">
        <w:rPr>
          <w:rFonts w:ascii="Times New Roman" w:hAnsi="Times New Roman" w:cs="Times New Roman"/>
          <w:bCs/>
          <w:sz w:val="24"/>
          <w:szCs w:val="24"/>
        </w:rPr>
        <w:t>ing</w:t>
      </w:r>
      <w:r w:rsidR="0044502F">
        <w:rPr>
          <w:rFonts w:ascii="Times New Roman" w:hAnsi="Times New Roman" w:cs="Times New Roman"/>
          <w:bCs/>
          <w:sz w:val="24"/>
          <w:szCs w:val="24"/>
        </w:rPr>
        <w:t xml:space="preserve"> </w:t>
      </w:r>
      <w:r w:rsidR="00C56DD0">
        <w:rPr>
          <w:rFonts w:ascii="Times New Roman" w:hAnsi="Times New Roman" w:cs="Times New Roman"/>
          <w:bCs/>
          <w:sz w:val="24"/>
          <w:szCs w:val="24"/>
        </w:rPr>
        <w:t>especially important to enable</w:t>
      </w:r>
      <w:r w:rsidR="0044502F">
        <w:rPr>
          <w:rFonts w:ascii="Times New Roman" w:hAnsi="Times New Roman" w:cs="Times New Roman"/>
          <w:bCs/>
          <w:sz w:val="24"/>
          <w:szCs w:val="24"/>
        </w:rPr>
        <w:t xml:space="preserve"> consistent regulation and to encourage on ongoing dialogue with sector providers in relatio</w:t>
      </w:r>
      <w:r w:rsidR="00F50393">
        <w:rPr>
          <w:rFonts w:ascii="Times New Roman" w:hAnsi="Times New Roman" w:cs="Times New Roman"/>
          <w:bCs/>
          <w:sz w:val="24"/>
          <w:szCs w:val="24"/>
        </w:rPr>
        <w:t>n to their own self-evaluation.</w:t>
      </w:r>
      <w:r w:rsidR="0044502F">
        <w:rPr>
          <w:rFonts w:ascii="Times New Roman" w:hAnsi="Times New Roman" w:cs="Times New Roman"/>
          <w:bCs/>
          <w:sz w:val="24"/>
          <w:szCs w:val="24"/>
        </w:rPr>
        <w:t xml:space="preserve"> </w:t>
      </w:r>
    </w:p>
    <w:p w:rsidR="00AD27A2" w:rsidRPr="00F50393" w:rsidRDefault="00AD27A2" w:rsidP="00F50393">
      <w:pPr>
        <w:pStyle w:val="ListParagraph"/>
        <w:numPr>
          <w:ilvl w:val="0"/>
          <w:numId w:val="13"/>
        </w:numPr>
        <w:spacing w:before="120" w:line="360" w:lineRule="auto"/>
        <w:rPr>
          <w:rFonts w:ascii="Times New Roman" w:hAnsi="Times New Roman" w:cs="Times New Roman"/>
          <w:b/>
          <w:bCs/>
          <w:sz w:val="24"/>
          <w:szCs w:val="24"/>
        </w:rPr>
      </w:pPr>
      <w:r w:rsidRPr="00F50393">
        <w:rPr>
          <w:rFonts w:ascii="Times New Roman" w:hAnsi="Times New Roman" w:cs="Times New Roman"/>
          <w:b/>
          <w:bCs/>
          <w:sz w:val="24"/>
          <w:szCs w:val="24"/>
        </w:rPr>
        <w:t>The components of the national regulatory system</w:t>
      </w:r>
    </w:p>
    <w:p w:rsidR="00670568" w:rsidRPr="00AD27A2" w:rsidRDefault="00F50393" w:rsidP="00AD27A2">
      <w:pPr>
        <w:spacing w:line="360" w:lineRule="auto"/>
        <w:ind w:right="9"/>
        <w:rPr>
          <w:rFonts w:ascii="Times New Roman" w:hAnsi="Times New Roman" w:cs="Times New Roman"/>
          <w:i/>
          <w:sz w:val="24"/>
          <w:szCs w:val="24"/>
        </w:rPr>
      </w:pPr>
      <w:r>
        <w:rPr>
          <w:rFonts w:ascii="Times New Roman" w:hAnsi="Times New Roman" w:cs="Times New Roman"/>
          <w:i/>
          <w:sz w:val="24"/>
          <w:szCs w:val="24"/>
        </w:rPr>
        <w:lastRenderedPageBreak/>
        <w:t xml:space="preserve">2.1 </w:t>
      </w:r>
      <w:r w:rsidR="00670568" w:rsidRPr="00AD27A2">
        <w:rPr>
          <w:rFonts w:ascii="Times New Roman" w:hAnsi="Times New Roman" w:cs="Times New Roman"/>
          <w:i/>
          <w:sz w:val="24"/>
          <w:szCs w:val="24"/>
        </w:rPr>
        <w:t xml:space="preserve">A </w:t>
      </w:r>
      <w:r w:rsidR="00AD27A2" w:rsidRPr="00AD27A2">
        <w:rPr>
          <w:rFonts w:ascii="Times New Roman" w:hAnsi="Times New Roman" w:cs="Times New Roman"/>
          <w:i/>
          <w:sz w:val="24"/>
          <w:szCs w:val="24"/>
        </w:rPr>
        <w:t>National Register</w:t>
      </w:r>
      <w:r w:rsidR="00F7799A" w:rsidRPr="00AD27A2">
        <w:rPr>
          <w:rFonts w:ascii="Times New Roman" w:hAnsi="Times New Roman" w:cs="Times New Roman"/>
          <w:i/>
          <w:sz w:val="24"/>
          <w:szCs w:val="24"/>
        </w:rPr>
        <w:t xml:space="preserve"> of Providers</w:t>
      </w:r>
    </w:p>
    <w:p w:rsidR="00F7016A" w:rsidRPr="00670568" w:rsidRDefault="00670568" w:rsidP="00670568">
      <w:pPr>
        <w:spacing w:line="360" w:lineRule="auto"/>
        <w:ind w:right="9"/>
        <w:rPr>
          <w:rFonts w:ascii="Times New Roman" w:hAnsi="Times New Roman" w:cs="Times New Roman"/>
          <w:b/>
          <w:sz w:val="24"/>
          <w:szCs w:val="24"/>
        </w:rPr>
      </w:pPr>
      <w:r w:rsidRPr="000E0186">
        <w:rPr>
          <w:rFonts w:ascii="Times New Roman" w:hAnsi="Times New Roman" w:cs="Times New Roman"/>
          <w:sz w:val="24"/>
          <w:szCs w:val="24"/>
        </w:rPr>
        <w:t>I</w:t>
      </w:r>
      <w:r w:rsidR="00F7799A">
        <w:rPr>
          <w:rFonts w:ascii="Times New Roman" w:hAnsi="Times New Roman" w:cs="Times New Roman"/>
          <w:sz w:val="24"/>
          <w:szCs w:val="24"/>
        </w:rPr>
        <w:t xml:space="preserve">mportantly, </w:t>
      </w:r>
      <w:r w:rsidR="00F7016A" w:rsidRPr="00B6620A">
        <w:rPr>
          <w:rFonts w:ascii="Times New Roman" w:hAnsi="Times New Roman" w:cs="Times New Roman"/>
          <w:sz w:val="24"/>
          <w:szCs w:val="24"/>
        </w:rPr>
        <w:t>an entity must be registered</w:t>
      </w:r>
      <w:r w:rsidR="00FB2198">
        <w:rPr>
          <w:rFonts w:ascii="Times New Roman" w:hAnsi="Times New Roman" w:cs="Times New Roman"/>
          <w:sz w:val="24"/>
          <w:szCs w:val="24"/>
        </w:rPr>
        <w:t xml:space="preserve"> </w:t>
      </w:r>
      <w:r w:rsidR="00F7799A">
        <w:rPr>
          <w:rFonts w:ascii="Times New Roman" w:hAnsi="Times New Roman" w:cs="Times New Roman"/>
          <w:sz w:val="24"/>
          <w:szCs w:val="24"/>
        </w:rPr>
        <w:t>nationally</w:t>
      </w:r>
      <w:r w:rsidR="00F7016A" w:rsidRPr="00B6620A">
        <w:rPr>
          <w:rFonts w:ascii="Times New Roman" w:hAnsi="Times New Roman" w:cs="Times New Roman"/>
          <w:sz w:val="24"/>
          <w:szCs w:val="24"/>
        </w:rPr>
        <w:t xml:space="preserve"> by TEQSA</w:t>
      </w:r>
      <w:r>
        <w:rPr>
          <w:rFonts w:ascii="Times New Roman" w:hAnsi="Times New Roman" w:cs="Times New Roman"/>
          <w:sz w:val="24"/>
          <w:szCs w:val="24"/>
        </w:rPr>
        <w:t xml:space="preserve"> thus appear on </w:t>
      </w:r>
      <w:r w:rsidRPr="00B6620A">
        <w:rPr>
          <w:rFonts w:ascii="Times New Roman" w:hAnsi="Times New Roman" w:cs="Times New Roman"/>
          <w:sz w:val="24"/>
          <w:szCs w:val="24"/>
        </w:rPr>
        <w:t>the Registe</w:t>
      </w:r>
      <w:r>
        <w:rPr>
          <w:rFonts w:ascii="Times New Roman" w:hAnsi="Times New Roman" w:cs="Times New Roman"/>
          <w:sz w:val="24"/>
          <w:szCs w:val="24"/>
        </w:rPr>
        <w:t>r of Higher Education Providers</w:t>
      </w:r>
      <w:r w:rsidRPr="00B6620A">
        <w:rPr>
          <w:rStyle w:val="FootnoteReference"/>
          <w:sz w:val="24"/>
          <w:szCs w:val="24"/>
        </w:rPr>
        <w:footnoteReference w:id="34"/>
      </w:r>
      <w:r w:rsidR="00F7016A" w:rsidRPr="00B6620A">
        <w:rPr>
          <w:rFonts w:ascii="Times New Roman" w:hAnsi="Times New Roman" w:cs="Times New Roman"/>
          <w:sz w:val="24"/>
          <w:szCs w:val="24"/>
        </w:rPr>
        <w:t>before it can confer any regulated higher education award</w:t>
      </w:r>
      <w:r w:rsidR="00FB2198">
        <w:rPr>
          <w:rFonts w:ascii="Times New Roman" w:hAnsi="Times New Roman" w:cs="Times New Roman"/>
          <w:sz w:val="24"/>
          <w:szCs w:val="24"/>
        </w:rPr>
        <w:t>.</w:t>
      </w:r>
      <w:r w:rsidR="00452918" w:rsidRPr="00B6620A">
        <w:rPr>
          <w:rStyle w:val="FootnoteReference"/>
          <w:sz w:val="24"/>
          <w:szCs w:val="24"/>
        </w:rPr>
        <w:footnoteReference w:id="35"/>
      </w:r>
      <w:r w:rsidR="00F7016A" w:rsidRPr="00B6620A">
        <w:rPr>
          <w:rFonts w:ascii="Times New Roman" w:hAnsi="Times New Roman" w:cs="Times New Roman"/>
          <w:sz w:val="24"/>
          <w:szCs w:val="24"/>
        </w:rPr>
        <w:t xml:space="preserve"> </w:t>
      </w:r>
      <w:r w:rsidR="00FB2198">
        <w:rPr>
          <w:rFonts w:ascii="Times New Roman" w:hAnsi="Times New Roman" w:cs="Times New Roman"/>
          <w:sz w:val="24"/>
          <w:szCs w:val="24"/>
        </w:rPr>
        <w:t xml:space="preserve"> </w:t>
      </w:r>
      <w:r w:rsidR="00F7016A" w:rsidRPr="00B6620A">
        <w:rPr>
          <w:rFonts w:ascii="Times New Roman" w:hAnsi="Times New Roman" w:cs="Times New Roman"/>
          <w:sz w:val="24"/>
          <w:szCs w:val="24"/>
        </w:rPr>
        <w:t>Australian univ</w:t>
      </w:r>
      <w:r w:rsidR="00FB2198">
        <w:rPr>
          <w:rFonts w:ascii="Times New Roman" w:hAnsi="Times New Roman" w:cs="Times New Roman"/>
          <w:sz w:val="24"/>
          <w:szCs w:val="24"/>
        </w:rPr>
        <w:t xml:space="preserve">ersities remain </w:t>
      </w:r>
      <w:r w:rsidR="00004C4A" w:rsidRPr="00B6620A">
        <w:rPr>
          <w:rFonts w:ascii="Times New Roman" w:hAnsi="Times New Roman" w:cs="Times New Roman"/>
          <w:sz w:val="24"/>
          <w:szCs w:val="24"/>
        </w:rPr>
        <w:t>authorised to self-</w:t>
      </w:r>
      <w:r w:rsidR="00F7016A" w:rsidRPr="00B6620A">
        <w:rPr>
          <w:rFonts w:ascii="Times New Roman" w:hAnsi="Times New Roman" w:cs="Times New Roman"/>
          <w:sz w:val="24"/>
          <w:szCs w:val="24"/>
        </w:rPr>
        <w:t>accredit their courses of study, whereas other registered higher education providers must have their courses accredited by TEQSA.</w:t>
      </w:r>
      <w:r w:rsidR="00452918" w:rsidRPr="00B6620A">
        <w:rPr>
          <w:rStyle w:val="FootnoteReference"/>
          <w:sz w:val="24"/>
          <w:szCs w:val="24"/>
        </w:rPr>
        <w:footnoteReference w:id="36"/>
      </w:r>
      <w:r w:rsidR="00F7016A" w:rsidRPr="00B6620A">
        <w:rPr>
          <w:rFonts w:ascii="Times New Roman" w:hAnsi="Times New Roman" w:cs="Times New Roman"/>
          <w:sz w:val="24"/>
          <w:szCs w:val="24"/>
        </w:rPr>
        <w:t xml:space="preserve"> </w:t>
      </w:r>
      <w:r w:rsidR="00FB2198" w:rsidRPr="00B6620A">
        <w:rPr>
          <w:rFonts w:ascii="Times New Roman" w:hAnsi="Times New Roman" w:cs="Times New Roman"/>
          <w:sz w:val="24"/>
          <w:szCs w:val="24"/>
        </w:rPr>
        <w:t>“Australian University</w:t>
      </w:r>
      <w:r w:rsidR="00FB2198">
        <w:rPr>
          <w:rFonts w:ascii="Times New Roman" w:hAnsi="Times New Roman" w:cs="Times New Roman"/>
          <w:sz w:val="24"/>
          <w:szCs w:val="24"/>
        </w:rPr>
        <w:t>” is one of the categories for p</w:t>
      </w:r>
      <w:r w:rsidR="00FB2198" w:rsidRPr="00B6620A">
        <w:rPr>
          <w:rFonts w:ascii="Times New Roman" w:hAnsi="Times New Roman" w:cs="Times New Roman"/>
          <w:sz w:val="24"/>
          <w:szCs w:val="24"/>
        </w:rPr>
        <w:t xml:space="preserve">rovider registration.  </w:t>
      </w:r>
      <w:r w:rsidR="00FB2198">
        <w:rPr>
          <w:rFonts w:ascii="Times New Roman" w:hAnsi="Times New Roman" w:cs="Times New Roman"/>
          <w:sz w:val="24"/>
          <w:szCs w:val="24"/>
        </w:rPr>
        <w:t xml:space="preserve"> </w:t>
      </w:r>
      <w:r w:rsidR="00FB2198" w:rsidRPr="00B6620A">
        <w:rPr>
          <w:rFonts w:ascii="Times New Roman" w:hAnsi="Times New Roman" w:cs="Times New Roman"/>
          <w:sz w:val="24"/>
          <w:szCs w:val="24"/>
        </w:rPr>
        <w:t>The other categories of providers which may be registered to offer an Australian higher education award or an overseas higher education award are</w:t>
      </w:r>
      <w:r w:rsidR="00FB2198">
        <w:rPr>
          <w:rFonts w:ascii="Times New Roman" w:hAnsi="Times New Roman" w:cs="Times New Roman"/>
          <w:sz w:val="24"/>
          <w:szCs w:val="24"/>
        </w:rPr>
        <w:t xml:space="preserve"> listed, in the Provider Category Standards, as</w:t>
      </w:r>
      <w:r w:rsidR="00FB2198" w:rsidRPr="00B6620A">
        <w:rPr>
          <w:rFonts w:ascii="Times New Roman" w:hAnsi="Times New Roman" w:cs="Times New Roman"/>
          <w:sz w:val="24"/>
          <w:szCs w:val="24"/>
        </w:rPr>
        <w:t xml:space="preserve"> ‘Higher Education Provider</w:t>
      </w:r>
      <w:r w:rsidR="00FB2198">
        <w:rPr>
          <w:rFonts w:ascii="Times New Roman" w:hAnsi="Times New Roman" w:cs="Times New Roman"/>
          <w:sz w:val="24"/>
          <w:szCs w:val="24"/>
        </w:rPr>
        <w:t>s” and are</w:t>
      </w:r>
      <w:r w:rsidR="00FB2198" w:rsidRPr="00B6620A">
        <w:rPr>
          <w:rFonts w:ascii="Times New Roman" w:hAnsi="Times New Roman" w:cs="Times New Roman"/>
          <w:sz w:val="24"/>
          <w:szCs w:val="24"/>
        </w:rPr>
        <w:t xml:space="preserve"> “Australian University College”, “Australian University of Specialisation”, “Overseas University and “Overseas Univ</w:t>
      </w:r>
      <w:r w:rsidR="00FB2198">
        <w:rPr>
          <w:rFonts w:ascii="Times New Roman" w:hAnsi="Times New Roman" w:cs="Times New Roman"/>
          <w:sz w:val="24"/>
          <w:szCs w:val="24"/>
        </w:rPr>
        <w:t xml:space="preserve">ersity of Specialisation”.  </w:t>
      </w:r>
      <w:r w:rsidR="00F7799A">
        <w:rPr>
          <w:rFonts w:ascii="Times New Roman" w:hAnsi="Times New Roman" w:cs="Times New Roman"/>
          <w:sz w:val="24"/>
          <w:szCs w:val="24"/>
        </w:rPr>
        <w:t xml:space="preserve">In order to be registered, a provider must comply with the newly formulated </w:t>
      </w:r>
      <w:r w:rsidR="00F50393">
        <w:rPr>
          <w:rFonts w:ascii="Times New Roman" w:hAnsi="Times New Roman" w:cs="Times New Roman"/>
          <w:sz w:val="24"/>
          <w:szCs w:val="24"/>
        </w:rPr>
        <w:t xml:space="preserve">standards </w:t>
      </w:r>
      <w:r w:rsidR="00FB2198">
        <w:rPr>
          <w:rFonts w:ascii="Times New Roman" w:hAnsi="Times New Roman" w:cs="Times New Roman"/>
          <w:sz w:val="24"/>
          <w:szCs w:val="24"/>
        </w:rPr>
        <w:t xml:space="preserve">framework known as the </w:t>
      </w:r>
      <w:r w:rsidR="00F7799A" w:rsidRPr="00F7799A">
        <w:rPr>
          <w:rFonts w:ascii="Times New Roman" w:hAnsi="Times New Roman" w:cs="Times New Roman"/>
          <w:i/>
          <w:sz w:val="24"/>
          <w:szCs w:val="24"/>
        </w:rPr>
        <w:t xml:space="preserve">Higher Education </w:t>
      </w:r>
      <w:r>
        <w:rPr>
          <w:rFonts w:ascii="Times New Roman" w:hAnsi="Times New Roman" w:cs="Times New Roman"/>
          <w:i/>
          <w:sz w:val="24"/>
          <w:szCs w:val="24"/>
        </w:rPr>
        <w:t>(</w:t>
      </w:r>
      <w:r w:rsidR="00F7799A" w:rsidRPr="00F7799A">
        <w:rPr>
          <w:rFonts w:ascii="Times New Roman" w:hAnsi="Times New Roman" w:cs="Times New Roman"/>
          <w:i/>
          <w:sz w:val="24"/>
          <w:szCs w:val="24"/>
        </w:rPr>
        <w:t>Threshold</w:t>
      </w:r>
      <w:r>
        <w:rPr>
          <w:rFonts w:ascii="Times New Roman" w:hAnsi="Times New Roman" w:cs="Times New Roman"/>
          <w:i/>
          <w:sz w:val="24"/>
          <w:szCs w:val="24"/>
        </w:rPr>
        <w:t>)</w:t>
      </w:r>
      <w:r w:rsidR="00F7799A" w:rsidRPr="00F7799A">
        <w:rPr>
          <w:rFonts w:ascii="Times New Roman" w:hAnsi="Times New Roman" w:cs="Times New Roman"/>
          <w:i/>
          <w:sz w:val="24"/>
          <w:szCs w:val="24"/>
        </w:rPr>
        <w:t xml:space="preserve"> Standards 2011</w:t>
      </w:r>
      <w:r w:rsidR="00FB2198">
        <w:rPr>
          <w:rFonts w:ascii="Times New Roman" w:hAnsi="Times New Roman" w:cs="Times New Roman"/>
          <w:i/>
          <w:sz w:val="24"/>
          <w:szCs w:val="24"/>
        </w:rPr>
        <w:t>.</w:t>
      </w:r>
    </w:p>
    <w:p w:rsidR="00F7799A" w:rsidRPr="00AD27A2" w:rsidRDefault="00F50393" w:rsidP="00AD27A2">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2.2 </w:t>
      </w:r>
      <w:r w:rsidR="00AD27A2" w:rsidRPr="00AD27A2">
        <w:rPr>
          <w:rFonts w:ascii="Times New Roman" w:hAnsi="Times New Roman" w:cs="Times New Roman"/>
          <w:i/>
          <w:sz w:val="24"/>
          <w:szCs w:val="24"/>
        </w:rPr>
        <w:t xml:space="preserve">A </w:t>
      </w:r>
      <w:r w:rsidR="00F7799A" w:rsidRPr="00AD27A2">
        <w:rPr>
          <w:rFonts w:ascii="Times New Roman" w:hAnsi="Times New Roman" w:cs="Times New Roman"/>
          <w:i/>
          <w:sz w:val="24"/>
          <w:szCs w:val="24"/>
        </w:rPr>
        <w:t>Higher Education Standards</w:t>
      </w:r>
      <w:r w:rsidR="00AD27A2" w:rsidRPr="00AD27A2">
        <w:rPr>
          <w:rFonts w:ascii="Times New Roman" w:hAnsi="Times New Roman" w:cs="Times New Roman"/>
          <w:i/>
          <w:sz w:val="24"/>
          <w:szCs w:val="24"/>
        </w:rPr>
        <w:t xml:space="preserve"> Framework</w:t>
      </w:r>
      <w:r w:rsidR="00234267">
        <w:rPr>
          <w:rFonts w:ascii="Times New Roman" w:hAnsi="Times New Roman" w:cs="Times New Roman"/>
          <w:i/>
          <w:sz w:val="24"/>
          <w:szCs w:val="24"/>
        </w:rPr>
        <w:t xml:space="preserve"> and the Threshold Standards</w:t>
      </w:r>
    </w:p>
    <w:p w:rsidR="00F7016A" w:rsidRDefault="00082027" w:rsidP="002E281B">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F7016A" w:rsidRPr="00B6620A">
        <w:rPr>
          <w:rFonts w:ascii="Times New Roman" w:hAnsi="Times New Roman" w:cs="Times New Roman"/>
          <w:sz w:val="24"/>
          <w:szCs w:val="24"/>
        </w:rPr>
        <w:t xml:space="preserve">framework is a series of standards </w:t>
      </w:r>
      <w:r>
        <w:rPr>
          <w:rFonts w:ascii="Times New Roman" w:hAnsi="Times New Roman" w:cs="Times New Roman"/>
          <w:sz w:val="24"/>
          <w:szCs w:val="24"/>
        </w:rPr>
        <w:t xml:space="preserve">to be </w:t>
      </w:r>
      <w:r w:rsidR="00F7016A" w:rsidRPr="00B6620A">
        <w:rPr>
          <w:rFonts w:ascii="Times New Roman" w:hAnsi="Times New Roman" w:cs="Times New Roman"/>
          <w:sz w:val="24"/>
          <w:szCs w:val="24"/>
        </w:rPr>
        <w:t>made by the Minister on the advice of the Higher Education Standards Panel</w:t>
      </w:r>
      <w:r w:rsidR="00452918" w:rsidRPr="00B6620A">
        <w:rPr>
          <w:rFonts w:ascii="Times New Roman" w:hAnsi="Times New Roman" w:cs="Times New Roman"/>
          <w:sz w:val="24"/>
          <w:szCs w:val="24"/>
        </w:rPr>
        <w:t>.</w:t>
      </w:r>
      <w:r w:rsidR="00452918" w:rsidRPr="00B6620A">
        <w:rPr>
          <w:rStyle w:val="FootnoteReference"/>
          <w:sz w:val="24"/>
          <w:szCs w:val="24"/>
        </w:rPr>
        <w:footnoteReference w:id="37"/>
      </w:r>
      <w:r w:rsidR="00234267">
        <w:rPr>
          <w:rFonts w:ascii="Times New Roman" w:hAnsi="Times New Roman" w:cs="Times New Roman"/>
          <w:sz w:val="24"/>
          <w:szCs w:val="24"/>
        </w:rPr>
        <w:t xml:space="preserve"> These comprise</w:t>
      </w:r>
      <w:r w:rsidR="007F6E2F">
        <w:rPr>
          <w:rFonts w:ascii="Times New Roman" w:hAnsi="Times New Roman" w:cs="Times New Roman"/>
          <w:sz w:val="24"/>
          <w:szCs w:val="24"/>
        </w:rPr>
        <w:t xml:space="preserve"> </w:t>
      </w:r>
      <w:r w:rsidR="00F7016A" w:rsidRPr="00B6620A">
        <w:rPr>
          <w:rFonts w:ascii="Times New Roman" w:hAnsi="Times New Roman" w:cs="Times New Roman"/>
          <w:sz w:val="24"/>
          <w:szCs w:val="24"/>
        </w:rPr>
        <w:t>the Provider Standards, the Qualification Standards, the Teaching and Learning Standards, Information Standards and Research Standards</w:t>
      </w:r>
      <w:r w:rsidR="00452918" w:rsidRPr="00B6620A">
        <w:rPr>
          <w:rFonts w:ascii="Times New Roman" w:hAnsi="Times New Roman" w:cs="Times New Roman"/>
          <w:sz w:val="24"/>
          <w:szCs w:val="24"/>
        </w:rPr>
        <w:t>.</w:t>
      </w:r>
      <w:r w:rsidR="00452918" w:rsidRPr="00B6620A">
        <w:rPr>
          <w:rStyle w:val="FootnoteReference"/>
          <w:sz w:val="24"/>
          <w:szCs w:val="24"/>
        </w:rPr>
        <w:footnoteReference w:id="38"/>
      </w:r>
      <w:r>
        <w:rPr>
          <w:rFonts w:ascii="Times New Roman" w:hAnsi="Times New Roman" w:cs="Times New Roman"/>
          <w:sz w:val="24"/>
          <w:szCs w:val="24"/>
        </w:rPr>
        <w:t xml:space="preserve">  T</w:t>
      </w:r>
      <w:r w:rsidR="00FD2E5E" w:rsidRPr="00B6620A">
        <w:rPr>
          <w:rFonts w:ascii="Times New Roman" w:hAnsi="Times New Roman" w:cs="Times New Roman"/>
          <w:sz w:val="24"/>
          <w:szCs w:val="24"/>
        </w:rPr>
        <w:t xml:space="preserve">he first two, </w:t>
      </w:r>
      <w:r w:rsidR="00452918" w:rsidRPr="00B6620A">
        <w:rPr>
          <w:rFonts w:ascii="Times New Roman" w:hAnsi="Times New Roman" w:cs="Times New Roman"/>
          <w:sz w:val="24"/>
          <w:szCs w:val="24"/>
        </w:rPr>
        <w:t xml:space="preserve">the Provider Standards </w:t>
      </w:r>
      <w:r w:rsidR="00FD2E5E" w:rsidRPr="00B6620A">
        <w:rPr>
          <w:rFonts w:ascii="Times New Roman" w:eastAsia="Times New Roman" w:hAnsi="Times New Roman" w:cs="Times New Roman"/>
          <w:sz w:val="24"/>
          <w:szCs w:val="24"/>
        </w:rPr>
        <w:t>and the Qualification Standards,</w:t>
      </w:r>
      <w:r w:rsidR="00937AC3">
        <w:rPr>
          <w:rFonts w:ascii="Times New Roman" w:eastAsia="Times New Roman" w:hAnsi="Times New Roman" w:cs="Times New Roman"/>
          <w:sz w:val="24"/>
          <w:szCs w:val="24"/>
        </w:rPr>
        <w:t xml:space="preserve"> </w:t>
      </w:r>
      <w:r w:rsidR="00452918" w:rsidRPr="00B6620A">
        <w:rPr>
          <w:rFonts w:ascii="Times New Roman" w:hAnsi="Times New Roman" w:cs="Times New Roman"/>
          <w:sz w:val="24"/>
          <w:szCs w:val="24"/>
        </w:rPr>
        <w:t xml:space="preserve">known as the </w:t>
      </w:r>
      <w:r w:rsidR="00452918" w:rsidRPr="00937AC3">
        <w:rPr>
          <w:rFonts w:ascii="Times New Roman" w:hAnsi="Times New Roman" w:cs="Times New Roman"/>
          <w:i/>
          <w:sz w:val="24"/>
          <w:szCs w:val="24"/>
        </w:rPr>
        <w:t>Higher</w:t>
      </w:r>
      <w:r w:rsidR="00FD2E5E" w:rsidRPr="00937AC3">
        <w:rPr>
          <w:rFonts w:ascii="Times New Roman" w:hAnsi="Times New Roman" w:cs="Times New Roman"/>
          <w:i/>
          <w:sz w:val="24"/>
          <w:szCs w:val="24"/>
        </w:rPr>
        <w:t xml:space="preserve"> Education </w:t>
      </w:r>
      <w:r w:rsidR="007F6E2F">
        <w:rPr>
          <w:rFonts w:ascii="Times New Roman" w:hAnsi="Times New Roman" w:cs="Times New Roman"/>
          <w:i/>
          <w:sz w:val="24"/>
          <w:szCs w:val="24"/>
        </w:rPr>
        <w:t>(</w:t>
      </w:r>
      <w:r w:rsidR="00452918" w:rsidRPr="00937AC3">
        <w:rPr>
          <w:rFonts w:ascii="Times New Roman" w:hAnsi="Times New Roman" w:cs="Times New Roman"/>
          <w:i/>
          <w:sz w:val="24"/>
          <w:szCs w:val="24"/>
        </w:rPr>
        <w:t>Threshold</w:t>
      </w:r>
      <w:r w:rsidR="007F6E2F">
        <w:rPr>
          <w:rFonts w:ascii="Times New Roman" w:hAnsi="Times New Roman" w:cs="Times New Roman"/>
          <w:i/>
          <w:sz w:val="24"/>
          <w:szCs w:val="24"/>
        </w:rPr>
        <w:t>)</w:t>
      </w:r>
      <w:r w:rsidR="00452918" w:rsidRPr="00937AC3">
        <w:rPr>
          <w:rFonts w:ascii="Times New Roman" w:hAnsi="Times New Roman" w:cs="Times New Roman"/>
          <w:i/>
          <w:sz w:val="24"/>
          <w:szCs w:val="24"/>
        </w:rPr>
        <w:t xml:space="preserve"> Standards</w:t>
      </w:r>
      <w:r w:rsidR="00937AC3" w:rsidRPr="00937AC3">
        <w:rPr>
          <w:rFonts w:ascii="Times New Roman" w:hAnsi="Times New Roman" w:cs="Times New Roman"/>
          <w:i/>
          <w:sz w:val="24"/>
          <w:szCs w:val="24"/>
        </w:rPr>
        <w:t xml:space="preserve"> 2011</w:t>
      </w:r>
      <w:r w:rsidR="00FD2E5E" w:rsidRPr="00B6620A">
        <w:rPr>
          <w:rFonts w:ascii="Times New Roman" w:hAnsi="Times New Roman" w:cs="Times New Roman"/>
          <w:sz w:val="24"/>
          <w:szCs w:val="24"/>
        </w:rPr>
        <w:t xml:space="preserve">, were </w:t>
      </w:r>
      <w:r w:rsidR="00452918" w:rsidRPr="00B6620A">
        <w:rPr>
          <w:rFonts w:ascii="Times New Roman" w:hAnsi="Times New Roman" w:cs="Times New Roman"/>
          <w:sz w:val="24"/>
          <w:szCs w:val="24"/>
        </w:rPr>
        <w:t>completed</w:t>
      </w:r>
      <w:r w:rsidR="00FD2E5E" w:rsidRPr="00B6620A">
        <w:rPr>
          <w:rFonts w:ascii="Times New Roman" w:hAnsi="Times New Roman" w:cs="Times New Roman"/>
          <w:sz w:val="24"/>
          <w:szCs w:val="24"/>
        </w:rPr>
        <w:t xml:space="preserve"> and formalised by legislative instrument on 4 January 2012</w:t>
      </w:r>
      <w:r w:rsidR="00452918" w:rsidRPr="00B6620A">
        <w:rPr>
          <w:rFonts w:ascii="Times New Roman" w:hAnsi="Times New Roman" w:cs="Times New Roman"/>
          <w:sz w:val="24"/>
          <w:szCs w:val="24"/>
        </w:rPr>
        <w:t>.</w:t>
      </w:r>
      <w:r w:rsidR="00937AC3">
        <w:rPr>
          <w:rStyle w:val="FootnoteReference"/>
          <w:sz w:val="24"/>
          <w:szCs w:val="24"/>
        </w:rPr>
        <w:footnoteReference w:id="39"/>
      </w:r>
      <w:r w:rsidR="00452918" w:rsidRPr="00B6620A">
        <w:rPr>
          <w:rFonts w:ascii="Times New Roman" w:hAnsi="Times New Roman" w:cs="Times New Roman"/>
          <w:sz w:val="24"/>
          <w:szCs w:val="24"/>
        </w:rPr>
        <w:t xml:space="preserve">  </w:t>
      </w:r>
      <w:r w:rsidR="00234267">
        <w:rPr>
          <w:rFonts w:ascii="Times New Roman" w:hAnsi="Times New Roman" w:cs="Times New Roman"/>
          <w:sz w:val="24"/>
          <w:szCs w:val="24"/>
        </w:rPr>
        <w:t>As t</w:t>
      </w:r>
      <w:r w:rsidR="00937AC3">
        <w:rPr>
          <w:rFonts w:ascii="Times New Roman" w:hAnsi="Times New Roman" w:cs="Times New Roman"/>
          <w:sz w:val="24"/>
          <w:szCs w:val="24"/>
        </w:rPr>
        <w:t xml:space="preserve">hese Standards </w:t>
      </w:r>
      <w:r w:rsidR="00234267">
        <w:rPr>
          <w:rFonts w:ascii="Times New Roman" w:hAnsi="Times New Roman" w:cs="Times New Roman"/>
          <w:sz w:val="24"/>
          <w:szCs w:val="24"/>
        </w:rPr>
        <w:t xml:space="preserve">provide the basis for TEQSA regulation they </w:t>
      </w:r>
      <w:r w:rsidR="00937AC3">
        <w:rPr>
          <w:rFonts w:ascii="Times New Roman" w:hAnsi="Times New Roman" w:cs="Times New Roman"/>
          <w:sz w:val="24"/>
          <w:szCs w:val="24"/>
        </w:rPr>
        <w:t>were necessarily completed first</w:t>
      </w:r>
      <w:r w:rsidR="00F7799A">
        <w:rPr>
          <w:rFonts w:ascii="Times New Roman" w:hAnsi="Times New Roman" w:cs="Times New Roman"/>
          <w:sz w:val="24"/>
          <w:szCs w:val="24"/>
        </w:rPr>
        <w:t xml:space="preserve"> in order for TEQSA to begin</w:t>
      </w:r>
      <w:r w:rsidR="00937AC3">
        <w:rPr>
          <w:rFonts w:ascii="Times New Roman" w:hAnsi="Times New Roman" w:cs="Times New Roman"/>
          <w:sz w:val="24"/>
          <w:szCs w:val="24"/>
        </w:rPr>
        <w:t xml:space="preserve"> operations at the beginning of this year</w:t>
      </w:r>
      <w:r w:rsidR="00F7799A">
        <w:rPr>
          <w:rFonts w:ascii="Times New Roman" w:hAnsi="Times New Roman" w:cs="Times New Roman"/>
          <w:sz w:val="24"/>
          <w:szCs w:val="24"/>
        </w:rPr>
        <w:t xml:space="preserve">, for new providers to apply for registration and for those universities which are the first ‘cabs off the rank’ to </w:t>
      </w:r>
      <w:r w:rsidR="00F7799A">
        <w:rPr>
          <w:rFonts w:ascii="Times New Roman" w:hAnsi="Times New Roman" w:cs="Times New Roman"/>
          <w:sz w:val="24"/>
          <w:szCs w:val="24"/>
        </w:rPr>
        <w:lastRenderedPageBreak/>
        <w:t>apply for re-registration</w:t>
      </w:r>
      <w:r w:rsidR="00937AC3">
        <w:rPr>
          <w:rFonts w:ascii="Times New Roman" w:hAnsi="Times New Roman" w:cs="Times New Roman"/>
          <w:sz w:val="24"/>
          <w:szCs w:val="24"/>
        </w:rPr>
        <w:t>.</w:t>
      </w:r>
      <w:r w:rsidR="00F7799A">
        <w:rPr>
          <w:rStyle w:val="FootnoteReference"/>
          <w:sz w:val="24"/>
          <w:szCs w:val="24"/>
        </w:rPr>
        <w:footnoteReference w:id="40"/>
      </w:r>
      <w:r w:rsidR="00937AC3">
        <w:rPr>
          <w:rFonts w:ascii="Times New Roman" w:hAnsi="Times New Roman" w:cs="Times New Roman"/>
          <w:sz w:val="24"/>
          <w:szCs w:val="24"/>
        </w:rPr>
        <w:t xml:space="preserve"> </w:t>
      </w:r>
      <w:r w:rsidR="00F7016A" w:rsidRPr="00B6620A">
        <w:rPr>
          <w:rFonts w:ascii="Times New Roman" w:hAnsi="Times New Roman" w:cs="Times New Roman"/>
          <w:sz w:val="24"/>
          <w:szCs w:val="24"/>
        </w:rPr>
        <w:t xml:space="preserve"> </w:t>
      </w:r>
      <w:r>
        <w:rPr>
          <w:rFonts w:ascii="Times New Roman" w:hAnsi="Times New Roman" w:cs="Times New Roman"/>
          <w:sz w:val="24"/>
          <w:szCs w:val="24"/>
        </w:rPr>
        <w:t>The remaining three are referred to as ‘non-threshold standards’ and are yet to be defined.</w:t>
      </w:r>
      <w:r w:rsidR="00234267">
        <w:rPr>
          <w:rStyle w:val="FootnoteReference"/>
          <w:sz w:val="24"/>
          <w:szCs w:val="24"/>
        </w:rPr>
        <w:footnoteReference w:id="41"/>
      </w:r>
      <w:r>
        <w:rPr>
          <w:rFonts w:ascii="Times New Roman" w:hAnsi="Times New Roman" w:cs="Times New Roman"/>
          <w:sz w:val="24"/>
          <w:szCs w:val="24"/>
        </w:rPr>
        <w:t xml:space="preserve">  </w:t>
      </w:r>
      <w:r w:rsidR="00F7016A" w:rsidRPr="00B6620A">
        <w:rPr>
          <w:rFonts w:ascii="Times New Roman" w:hAnsi="Times New Roman" w:cs="Times New Roman"/>
          <w:sz w:val="24"/>
          <w:szCs w:val="24"/>
        </w:rPr>
        <w:t>In addition, TEQS</w:t>
      </w:r>
      <w:r w:rsidR="00937AC3">
        <w:rPr>
          <w:rFonts w:ascii="Times New Roman" w:hAnsi="Times New Roman" w:cs="Times New Roman"/>
          <w:sz w:val="24"/>
          <w:szCs w:val="24"/>
        </w:rPr>
        <w:t>A has issued a Regulatory Risk F</w:t>
      </w:r>
      <w:r w:rsidR="00F7016A" w:rsidRPr="00B6620A">
        <w:rPr>
          <w:rFonts w:ascii="Times New Roman" w:hAnsi="Times New Roman" w:cs="Times New Roman"/>
          <w:sz w:val="24"/>
          <w:szCs w:val="24"/>
        </w:rPr>
        <w:t>ramework.</w:t>
      </w:r>
      <w:r w:rsidR="00FD2E5E" w:rsidRPr="00B6620A">
        <w:rPr>
          <w:rStyle w:val="FootnoteReference"/>
          <w:sz w:val="24"/>
          <w:szCs w:val="24"/>
        </w:rPr>
        <w:footnoteReference w:id="42"/>
      </w:r>
    </w:p>
    <w:p w:rsidR="00695F6B" w:rsidRDefault="00937AC3" w:rsidP="00695F6B">
      <w:pPr>
        <w:spacing w:before="12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695F6B">
        <w:rPr>
          <w:rFonts w:ascii="Times New Roman" w:hAnsi="Times New Roman" w:cs="Times New Roman"/>
          <w:sz w:val="24"/>
          <w:szCs w:val="24"/>
        </w:rPr>
        <w:t xml:space="preserve">Provider Standards, (which include the Provider Registration Standards, the </w:t>
      </w:r>
      <w:r w:rsidR="00A15B15" w:rsidRPr="00B6620A">
        <w:rPr>
          <w:rFonts w:ascii="Times New Roman" w:hAnsi="Times New Roman" w:cs="Times New Roman"/>
          <w:sz w:val="24"/>
          <w:szCs w:val="24"/>
        </w:rPr>
        <w:t xml:space="preserve">Provider Category Standards and </w:t>
      </w:r>
      <w:r w:rsidR="00695F6B">
        <w:rPr>
          <w:rFonts w:ascii="Times New Roman" w:hAnsi="Times New Roman" w:cs="Times New Roman"/>
          <w:sz w:val="24"/>
          <w:szCs w:val="24"/>
        </w:rPr>
        <w:t xml:space="preserve">the </w:t>
      </w:r>
      <w:r w:rsidR="00A15B15" w:rsidRPr="00B6620A">
        <w:rPr>
          <w:rFonts w:ascii="Times New Roman" w:hAnsi="Times New Roman" w:cs="Times New Roman"/>
          <w:sz w:val="24"/>
          <w:szCs w:val="24"/>
        </w:rPr>
        <w:t>Provider Course Accreditation Standards</w:t>
      </w:r>
      <w:r>
        <w:rPr>
          <w:rFonts w:ascii="Times New Roman" w:hAnsi="Times New Roman" w:cs="Times New Roman"/>
          <w:sz w:val="24"/>
          <w:szCs w:val="24"/>
        </w:rPr>
        <w:t>),</w:t>
      </w:r>
      <w:r w:rsidR="00A15B15" w:rsidRPr="00B6620A">
        <w:rPr>
          <w:rFonts w:ascii="Times New Roman" w:hAnsi="Times New Roman" w:cs="Times New Roman"/>
          <w:sz w:val="24"/>
          <w:szCs w:val="24"/>
        </w:rPr>
        <w:t xml:space="preserve"> </w:t>
      </w:r>
      <w:r w:rsidR="00B26A65">
        <w:rPr>
          <w:rFonts w:ascii="Times New Roman" w:hAnsi="Times New Roman" w:cs="Times New Roman"/>
          <w:sz w:val="24"/>
          <w:szCs w:val="24"/>
        </w:rPr>
        <w:t xml:space="preserve">were </w:t>
      </w:r>
      <w:r w:rsidR="00A15B15" w:rsidRPr="00B6620A">
        <w:rPr>
          <w:rFonts w:ascii="Times New Roman" w:hAnsi="Times New Roman" w:cs="Times New Roman"/>
          <w:sz w:val="24"/>
          <w:szCs w:val="24"/>
        </w:rPr>
        <w:t xml:space="preserve">developed based on the </w:t>
      </w:r>
      <w:r w:rsidR="007F6E2F">
        <w:rPr>
          <w:rFonts w:ascii="Times New Roman" w:hAnsi="Times New Roman" w:cs="Times New Roman"/>
          <w:sz w:val="24"/>
          <w:szCs w:val="24"/>
        </w:rPr>
        <w:t xml:space="preserve">previously-existing </w:t>
      </w:r>
      <w:r w:rsidR="00A15B15" w:rsidRPr="00B6620A">
        <w:rPr>
          <w:rFonts w:ascii="Times New Roman" w:hAnsi="Times New Roman" w:cs="Times New Roman"/>
          <w:sz w:val="24"/>
          <w:szCs w:val="24"/>
        </w:rPr>
        <w:t>National Protocols</w:t>
      </w:r>
      <w:r w:rsidR="007F6E2F">
        <w:rPr>
          <w:rFonts w:ascii="Times New Roman" w:hAnsi="Times New Roman" w:cs="Times New Roman"/>
          <w:sz w:val="24"/>
          <w:szCs w:val="24"/>
        </w:rPr>
        <w:t>.</w:t>
      </w:r>
      <w:r w:rsidR="00234267">
        <w:rPr>
          <w:rStyle w:val="FootnoteReference"/>
          <w:sz w:val="24"/>
          <w:szCs w:val="24"/>
        </w:rPr>
        <w:footnoteReference w:id="43"/>
      </w:r>
      <w:r w:rsidR="007F6E2F">
        <w:rPr>
          <w:rFonts w:ascii="Times New Roman" w:hAnsi="Times New Roman" w:cs="Times New Roman"/>
          <w:sz w:val="24"/>
          <w:szCs w:val="24"/>
        </w:rPr>
        <w:t xml:space="preserve"> They</w:t>
      </w:r>
      <w:r w:rsidR="00A15B15" w:rsidRPr="00B6620A">
        <w:rPr>
          <w:rFonts w:ascii="Times New Roman" w:hAnsi="Times New Roman" w:cs="Times New Roman"/>
          <w:sz w:val="24"/>
          <w:szCs w:val="24"/>
        </w:rPr>
        <w:t xml:space="preserve"> set out the requirements for a higher education provider to be registered and </w:t>
      </w:r>
      <w:r w:rsidR="007F6E2F">
        <w:rPr>
          <w:rFonts w:ascii="Times New Roman" w:hAnsi="Times New Roman" w:cs="Times New Roman"/>
          <w:sz w:val="24"/>
          <w:szCs w:val="24"/>
        </w:rPr>
        <w:t xml:space="preserve">for </w:t>
      </w:r>
      <w:r w:rsidR="00A15B15" w:rsidRPr="00B6620A">
        <w:rPr>
          <w:rFonts w:ascii="Times New Roman" w:hAnsi="Times New Roman" w:cs="Times New Roman"/>
          <w:sz w:val="24"/>
          <w:szCs w:val="24"/>
        </w:rPr>
        <w:t>accreditation of their courses, and for a determination as to whether a higher education provider meets the requirements for registration.</w:t>
      </w:r>
      <w:r>
        <w:rPr>
          <w:rStyle w:val="FootnoteReference"/>
          <w:sz w:val="24"/>
          <w:szCs w:val="24"/>
        </w:rPr>
        <w:footnoteReference w:id="44"/>
      </w:r>
      <w:r w:rsidR="00625351">
        <w:rPr>
          <w:rFonts w:ascii="Times New Roman" w:hAnsi="Times New Roman" w:cs="Times New Roman"/>
          <w:sz w:val="24"/>
          <w:szCs w:val="24"/>
        </w:rPr>
        <w:t xml:space="preserve"> </w:t>
      </w:r>
      <w:r w:rsidR="007F6E2F">
        <w:rPr>
          <w:rFonts w:ascii="Times New Roman" w:hAnsi="Times New Roman" w:cs="Times New Roman"/>
          <w:sz w:val="24"/>
          <w:szCs w:val="24"/>
        </w:rPr>
        <w:t xml:space="preserve">The Registration </w:t>
      </w:r>
      <w:r w:rsidR="007F6E2F" w:rsidRPr="00B6620A">
        <w:rPr>
          <w:rFonts w:ascii="Times New Roman" w:hAnsi="Times New Roman" w:cs="Times New Roman"/>
          <w:sz w:val="24"/>
          <w:szCs w:val="24"/>
        </w:rPr>
        <w:t>requirements</w:t>
      </w:r>
      <w:r w:rsidR="007F6E2F">
        <w:rPr>
          <w:rFonts w:ascii="Times New Roman" w:hAnsi="Times New Roman" w:cs="Times New Roman"/>
          <w:sz w:val="24"/>
          <w:szCs w:val="24"/>
        </w:rPr>
        <w:t xml:space="preserve"> relate</w:t>
      </w:r>
      <w:r w:rsidR="007F6E2F" w:rsidRPr="00B6620A">
        <w:rPr>
          <w:rFonts w:ascii="Times New Roman" w:hAnsi="Times New Roman" w:cs="Times New Roman"/>
          <w:sz w:val="24"/>
          <w:szCs w:val="24"/>
        </w:rPr>
        <w:t xml:space="preserve"> to</w:t>
      </w:r>
      <w:r w:rsidR="007F6E2F">
        <w:rPr>
          <w:rFonts w:ascii="Times New Roman" w:hAnsi="Times New Roman" w:cs="Times New Roman"/>
          <w:sz w:val="24"/>
          <w:szCs w:val="24"/>
        </w:rPr>
        <w:t xml:space="preserve"> matters such as</w:t>
      </w:r>
      <w:r w:rsidR="007F6E2F" w:rsidRPr="00B6620A">
        <w:rPr>
          <w:rFonts w:ascii="Times New Roman" w:hAnsi="Times New Roman" w:cs="Times New Roman"/>
          <w:sz w:val="24"/>
          <w:szCs w:val="24"/>
        </w:rPr>
        <w:t xml:space="preserve"> financial viability and safeguards, corporate and academic governance, the primacy of academic quality and integrity, management and human resources, responsibilities to students, and physical and electronic resources and infrastructure.  </w:t>
      </w:r>
      <w:r w:rsidR="007F6E2F">
        <w:rPr>
          <w:rFonts w:ascii="Times New Roman" w:hAnsi="Times New Roman" w:cs="Times New Roman"/>
          <w:sz w:val="24"/>
          <w:szCs w:val="24"/>
        </w:rPr>
        <w:t xml:space="preserve">Their primary aim is stated as </w:t>
      </w:r>
      <w:r w:rsidR="00A15B15" w:rsidRPr="00B6620A">
        <w:rPr>
          <w:rFonts w:ascii="Times New Roman" w:hAnsi="Times New Roman" w:cs="Times New Roman"/>
          <w:sz w:val="24"/>
          <w:szCs w:val="24"/>
        </w:rPr>
        <w:t>ensur</w:t>
      </w:r>
      <w:r w:rsidR="007F6E2F">
        <w:rPr>
          <w:rFonts w:ascii="Times New Roman" w:hAnsi="Times New Roman" w:cs="Times New Roman"/>
          <w:sz w:val="24"/>
          <w:szCs w:val="24"/>
        </w:rPr>
        <w:t>ing</w:t>
      </w:r>
      <w:r w:rsidR="00A15B15" w:rsidRPr="00B6620A">
        <w:rPr>
          <w:rFonts w:ascii="Times New Roman" w:hAnsi="Times New Roman" w:cs="Times New Roman"/>
          <w:sz w:val="24"/>
          <w:szCs w:val="24"/>
        </w:rPr>
        <w:t xml:space="preserve"> that the provider is a legal</w:t>
      </w:r>
      <w:r w:rsidR="00670568">
        <w:rPr>
          <w:rFonts w:ascii="Times New Roman" w:hAnsi="Times New Roman" w:cs="Times New Roman"/>
          <w:sz w:val="24"/>
          <w:szCs w:val="24"/>
        </w:rPr>
        <w:t>ly</w:t>
      </w:r>
      <w:r w:rsidR="00A15B15" w:rsidRPr="00B6620A">
        <w:rPr>
          <w:rFonts w:ascii="Times New Roman" w:hAnsi="Times New Roman" w:cs="Times New Roman"/>
          <w:sz w:val="24"/>
          <w:szCs w:val="24"/>
        </w:rPr>
        <w:t xml:space="preserve"> accountable, reputable entity, responsible for the higher education it provides</w:t>
      </w:r>
      <w:r w:rsidR="00695F6B">
        <w:rPr>
          <w:rFonts w:ascii="Times New Roman" w:hAnsi="Times New Roman" w:cs="Times New Roman"/>
          <w:sz w:val="24"/>
          <w:szCs w:val="24"/>
        </w:rPr>
        <w:t xml:space="preserve">.  </w:t>
      </w:r>
    </w:p>
    <w:p w:rsidR="00625351" w:rsidRDefault="00A15B15" w:rsidP="002E281B">
      <w:pPr>
        <w:spacing w:before="120" w:line="360" w:lineRule="auto"/>
        <w:rPr>
          <w:rFonts w:ascii="Times New Roman" w:hAnsi="Times New Roman" w:cs="Times New Roman"/>
          <w:sz w:val="24"/>
          <w:szCs w:val="24"/>
        </w:rPr>
      </w:pPr>
      <w:r w:rsidRPr="00B6620A">
        <w:rPr>
          <w:rFonts w:ascii="Times New Roman" w:hAnsi="Times New Roman" w:cs="Times New Roman"/>
          <w:sz w:val="24"/>
          <w:szCs w:val="24"/>
        </w:rPr>
        <w:t xml:space="preserve">The </w:t>
      </w:r>
      <w:r w:rsidR="007F6E2F">
        <w:rPr>
          <w:rFonts w:ascii="Times New Roman" w:hAnsi="Times New Roman" w:cs="Times New Roman"/>
          <w:sz w:val="24"/>
          <w:szCs w:val="24"/>
        </w:rPr>
        <w:t xml:space="preserve">Category </w:t>
      </w:r>
      <w:r w:rsidRPr="00B6620A">
        <w:rPr>
          <w:rFonts w:ascii="Times New Roman" w:hAnsi="Times New Roman" w:cs="Times New Roman"/>
          <w:sz w:val="24"/>
          <w:szCs w:val="24"/>
        </w:rPr>
        <w:t xml:space="preserve">Standards provide that an Australian University self-accredits and delivers a comprehensive set of courses at both undergraduate and postgraduate level; researches, contributes to higher education outcomes through the advancement of knowledge; implements good practices in teaching and student learning support; demonstrates engagement and commitment to communities; </w:t>
      </w:r>
      <w:r w:rsidR="00FB3947">
        <w:rPr>
          <w:rFonts w:ascii="Times New Roman" w:hAnsi="Times New Roman" w:cs="Times New Roman"/>
          <w:sz w:val="24"/>
          <w:szCs w:val="24"/>
        </w:rPr>
        <w:t xml:space="preserve">and </w:t>
      </w:r>
      <w:r w:rsidRPr="00B6620A">
        <w:rPr>
          <w:rFonts w:ascii="Times New Roman" w:hAnsi="Times New Roman" w:cs="Times New Roman"/>
          <w:sz w:val="24"/>
          <w:szCs w:val="24"/>
        </w:rPr>
        <w:t>main</w:t>
      </w:r>
      <w:r w:rsidR="00FB3947">
        <w:rPr>
          <w:rFonts w:ascii="Times New Roman" w:hAnsi="Times New Roman" w:cs="Times New Roman"/>
          <w:sz w:val="24"/>
          <w:szCs w:val="24"/>
        </w:rPr>
        <w:t xml:space="preserve">tains higher education delivery. Of constitutional importance is the requirement that the </w:t>
      </w:r>
      <w:r w:rsidRPr="00B6620A">
        <w:rPr>
          <w:rFonts w:ascii="Times New Roman" w:hAnsi="Times New Roman" w:cs="Times New Roman"/>
          <w:sz w:val="24"/>
          <w:szCs w:val="24"/>
        </w:rPr>
        <w:t>application for registration (or re-registration) has the support of the relevant Commonwealth, State or Territory Government</w:t>
      </w:r>
      <w:r w:rsidR="00125BEB">
        <w:rPr>
          <w:rFonts w:ascii="Times New Roman" w:hAnsi="Times New Roman" w:cs="Times New Roman"/>
          <w:sz w:val="24"/>
          <w:szCs w:val="24"/>
        </w:rPr>
        <w:t>.</w:t>
      </w:r>
      <w:r w:rsidR="00125BEB">
        <w:rPr>
          <w:rStyle w:val="FootnoteReference"/>
          <w:sz w:val="24"/>
          <w:szCs w:val="24"/>
        </w:rPr>
        <w:footnoteReference w:id="45"/>
      </w:r>
      <w:r w:rsidRPr="00B6620A">
        <w:rPr>
          <w:rFonts w:ascii="Times New Roman" w:hAnsi="Times New Roman" w:cs="Times New Roman"/>
          <w:sz w:val="24"/>
          <w:szCs w:val="24"/>
        </w:rPr>
        <w:t xml:space="preserve"> </w:t>
      </w:r>
      <w:r w:rsidR="007F6E2F">
        <w:rPr>
          <w:rFonts w:ascii="Times New Roman" w:hAnsi="Times New Roman" w:cs="Times New Roman"/>
          <w:sz w:val="24"/>
          <w:szCs w:val="24"/>
        </w:rPr>
        <w:t xml:space="preserve">The </w:t>
      </w:r>
      <w:r w:rsidR="00695F6B">
        <w:rPr>
          <w:rFonts w:ascii="Times New Roman" w:hAnsi="Times New Roman" w:cs="Times New Roman"/>
          <w:sz w:val="24"/>
          <w:szCs w:val="24"/>
        </w:rPr>
        <w:t>Accreditation Standards provide for matter</w:t>
      </w:r>
      <w:r w:rsidR="007F6E2F">
        <w:rPr>
          <w:rFonts w:ascii="Times New Roman" w:hAnsi="Times New Roman" w:cs="Times New Roman"/>
          <w:sz w:val="24"/>
          <w:szCs w:val="24"/>
        </w:rPr>
        <w:t>s</w:t>
      </w:r>
      <w:r w:rsidR="00695F6B">
        <w:rPr>
          <w:rFonts w:ascii="Times New Roman" w:hAnsi="Times New Roman" w:cs="Times New Roman"/>
          <w:sz w:val="24"/>
          <w:szCs w:val="24"/>
        </w:rPr>
        <w:t xml:space="preserve"> such as that the cou</w:t>
      </w:r>
      <w:r w:rsidR="00CF098E">
        <w:rPr>
          <w:rFonts w:ascii="Times New Roman" w:hAnsi="Times New Roman" w:cs="Times New Roman"/>
          <w:sz w:val="24"/>
          <w:szCs w:val="24"/>
        </w:rPr>
        <w:t>rse design is appro</w:t>
      </w:r>
      <w:r w:rsidR="00695F6B">
        <w:rPr>
          <w:rFonts w:ascii="Times New Roman" w:hAnsi="Times New Roman" w:cs="Times New Roman"/>
          <w:sz w:val="24"/>
          <w:szCs w:val="24"/>
        </w:rPr>
        <w:t xml:space="preserve">priate and meets the qualification standards, course resourcing and information is </w:t>
      </w:r>
      <w:r w:rsidR="00695F6B">
        <w:rPr>
          <w:rFonts w:ascii="Times New Roman" w:hAnsi="Times New Roman" w:cs="Times New Roman"/>
          <w:sz w:val="24"/>
          <w:szCs w:val="24"/>
        </w:rPr>
        <w:lastRenderedPageBreak/>
        <w:t>adequate, admission criteria are appropriate, teaching and learning are of high quality, assessment is effective and requires the achievement of expected student learning outcomes and course monitoring, review, updating and termination are appropriately managed.</w:t>
      </w:r>
      <w:r w:rsidR="00695F6B">
        <w:rPr>
          <w:rStyle w:val="FootnoteReference"/>
          <w:sz w:val="24"/>
          <w:szCs w:val="24"/>
        </w:rPr>
        <w:footnoteReference w:id="46"/>
      </w:r>
    </w:p>
    <w:p w:rsidR="00CC4D7D" w:rsidRDefault="00B26A65" w:rsidP="002F559D">
      <w:pPr>
        <w:pStyle w:val="NormalWeb"/>
        <w:spacing w:line="360" w:lineRule="auto"/>
      </w:pPr>
      <w:r>
        <w:t>Discussion</w:t>
      </w:r>
      <w:r w:rsidR="00A728C5">
        <w:t xml:space="preserve"> is ongoing </w:t>
      </w:r>
      <w:r>
        <w:t>relating to the</w:t>
      </w:r>
      <w:r w:rsidR="00A728C5">
        <w:t xml:space="preserve"> formulation of the </w:t>
      </w:r>
      <w:r>
        <w:t>non-threshold standards and their relationship with the threshold standards.</w:t>
      </w:r>
      <w:r>
        <w:rPr>
          <w:rStyle w:val="FootnoteReference"/>
        </w:rPr>
        <w:footnoteReference w:id="47"/>
      </w:r>
      <w:r>
        <w:t xml:space="preserve">  </w:t>
      </w:r>
      <w:r w:rsidR="00CC4D7D">
        <w:t>To initiate the discussion on the Teaching and Learning Standards, t</w:t>
      </w:r>
      <w:r w:rsidR="00A728C5">
        <w:t>he H</w:t>
      </w:r>
      <w:r>
        <w:t xml:space="preserve">igher Education Standards Panel issued a </w:t>
      </w:r>
      <w:r w:rsidR="004F4473">
        <w:t>paper entitled ‘</w:t>
      </w:r>
      <w:r w:rsidR="004F4473" w:rsidRPr="00CD66F0">
        <w:rPr>
          <w:i/>
        </w:rPr>
        <w:t>Developing a Framework for Teaching and Learning Standards in Australian Higher Education and the Role of TEQSA</w:t>
      </w:r>
      <w:r w:rsidR="00CD66F0" w:rsidRPr="00CD66F0">
        <w:rPr>
          <w:i/>
        </w:rPr>
        <w:t>’</w:t>
      </w:r>
      <w:r w:rsidR="004F4473">
        <w:t>.</w:t>
      </w:r>
      <w:r w:rsidR="00E17270">
        <w:rPr>
          <w:rStyle w:val="FootnoteReference"/>
        </w:rPr>
        <w:footnoteReference w:id="48"/>
      </w:r>
      <w:r w:rsidR="00CD66F0">
        <w:t xml:space="preserve"> </w:t>
      </w:r>
      <w:r w:rsidR="00CC4D7D">
        <w:t xml:space="preserve"> </w:t>
      </w:r>
    </w:p>
    <w:p w:rsidR="002F559D" w:rsidRPr="002F559D" w:rsidRDefault="00CD66F0" w:rsidP="002F559D">
      <w:pPr>
        <w:pStyle w:val="NormalWeb"/>
        <w:spacing w:line="360" w:lineRule="auto"/>
        <w:rPr>
          <w:color w:val="000000"/>
        </w:rPr>
      </w:pPr>
      <w:r>
        <w:t xml:space="preserve">Currently there is investigation underway into how the Research Standards may link to the </w:t>
      </w:r>
      <w:r>
        <w:rPr>
          <w:i/>
        </w:rPr>
        <w:t>Australian Code for the Responsible Conduct of Research.</w:t>
      </w:r>
      <w:r>
        <w:rPr>
          <w:rStyle w:val="FootnoteReference"/>
          <w:i/>
        </w:rPr>
        <w:footnoteReference w:id="49"/>
      </w:r>
      <w:r>
        <w:rPr>
          <w:i/>
        </w:rPr>
        <w:t xml:space="preserve">  </w:t>
      </w:r>
      <w:r w:rsidR="002F559D">
        <w:t xml:space="preserve">The most recent version of this Code, published in 2007, was developed by the </w:t>
      </w:r>
      <w:r w:rsidR="002F559D" w:rsidRPr="002F559D">
        <w:rPr>
          <w:color w:val="000000"/>
        </w:rPr>
        <w:t>National Health and Medical Research Council (NH&amp;MRC), the Australian Research Council (ARC) and Universities Australia. It provides guidance in responsible research practice and covers a wide range of topics associated with research</w:t>
      </w:r>
      <w:r w:rsidR="002F559D">
        <w:rPr>
          <w:color w:val="000000"/>
        </w:rPr>
        <w:t>:</w:t>
      </w:r>
      <w:r w:rsidR="002F559D" w:rsidRPr="002F559D">
        <w:rPr>
          <w:color w:val="000000"/>
        </w:rPr>
        <w:t xml:space="preserve"> practical in terms of management of research data and materials and the publication and dissemination of research findings</w:t>
      </w:r>
      <w:r w:rsidR="002F559D">
        <w:rPr>
          <w:color w:val="000000"/>
        </w:rPr>
        <w:t>;</w:t>
      </w:r>
      <w:r w:rsidR="002F559D" w:rsidRPr="002F559D">
        <w:rPr>
          <w:color w:val="000000"/>
        </w:rPr>
        <w:t xml:space="preserve"> and other matters concerning proper research conduct and ethics. </w:t>
      </w:r>
    </w:p>
    <w:p w:rsidR="007F6E2F" w:rsidRDefault="009F1A29" w:rsidP="00082027">
      <w:pPr>
        <w:pStyle w:val="Default"/>
        <w:spacing w:line="360" w:lineRule="auto"/>
        <w:rPr>
          <w:rFonts w:ascii="Times New Roman" w:hAnsi="Times New Roman" w:cs="Times New Roman"/>
        </w:rPr>
      </w:pPr>
      <w:r>
        <w:rPr>
          <w:rFonts w:ascii="Times New Roman" w:hAnsi="Times New Roman" w:cs="Times New Roman"/>
        </w:rPr>
        <w:t xml:space="preserve">The </w:t>
      </w:r>
      <w:r w:rsidR="00CD66F0">
        <w:rPr>
          <w:rFonts w:ascii="Times New Roman" w:hAnsi="Times New Roman" w:cs="Times New Roman"/>
        </w:rPr>
        <w:t>Information St</w:t>
      </w:r>
      <w:r w:rsidR="00E66A8E">
        <w:rPr>
          <w:rFonts w:ascii="Times New Roman" w:hAnsi="Times New Roman" w:cs="Times New Roman"/>
        </w:rPr>
        <w:t xml:space="preserve">andards are </w:t>
      </w:r>
      <w:r>
        <w:rPr>
          <w:rFonts w:ascii="Times New Roman" w:hAnsi="Times New Roman" w:cs="Times New Roman"/>
        </w:rPr>
        <w:t>also yet to be released</w:t>
      </w:r>
      <w:r w:rsidR="00E66A8E">
        <w:rPr>
          <w:rFonts w:ascii="Times New Roman" w:hAnsi="Times New Roman" w:cs="Times New Roman"/>
        </w:rPr>
        <w:t xml:space="preserve"> and thus far little attention has been paid to defining their concept and role. It is assumed that they</w:t>
      </w:r>
      <w:r>
        <w:rPr>
          <w:rFonts w:ascii="Times New Roman" w:hAnsi="Times New Roman" w:cs="Times New Roman"/>
        </w:rPr>
        <w:t xml:space="preserve"> </w:t>
      </w:r>
      <w:r w:rsidR="007F6E2F">
        <w:rPr>
          <w:rFonts w:ascii="Times New Roman" w:hAnsi="Times New Roman" w:cs="Times New Roman"/>
        </w:rPr>
        <w:t>will be</w:t>
      </w:r>
      <w:r w:rsidR="002F559D">
        <w:rPr>
          <w:rFonts w:ascii="Times New Roman" w:hAnsi="Times New Roman" w:cs="Times New Roman"/>
        </w:rPr>
        <w:t xml:space="preserve"> based on the principle of proper information sharing between higher education providers and their key stakeholders, particularly students and their parents.  Clearly, these Standards </w:t>
      </w:r>
      <w:r w:rsidR="00E66A8E">
        <w:rPr>
          <w:rFonts w:ascii="Times New Roman" w:hAnsi="Times New Roman" w:cs="Times New Roman"/>
        </w:rPr>
        <w:t xml:space="preserve">should </w:t>
      </w:r>
      <w:r>
        <w:rPr>
          <w:rFonts w:ascii="Times New Roman" w:hAnsi="Times New Roman" w:cs="Times New Roman"/>
        </w:rPr>
        <w:t xml:space="preserve">be </w:t>
      </w:r>
      <w:r w:rsidR="002F559D">
        <w:rPr>
          <w:rFonts w:ascii="Times New Roman" w:hAnsi="Times New Roman" w:cs="Times New Roman"/>
        </w:rPr>
        <w:t xml:space="preserve">aimed at eliminating any potential for misleading and deceptive conduct </w:t>
      </w:r>
      <w:r w:rsidR="00E66A8E">
        <w:rPr>
          <w:rFonts w:ascii="Times New Roman" w:hAnsi="Times New Roman" w:cs="Times New Roman"/>
        </w:rPr>
        <w:t xml:space="preserve">not only in </w:t>
      </w:r>
      <w:r w:rsidR="002F559D">
        <w:rPr>
          <w:rFonts w:ascii="Times New Roman" w:hAnsi="Times New Roman" w:cs="Times New Roman"/>
        </w:rPr>
        <w:t xml:space="preserve">advertising and promotional material but also relating to university publications such </w:t>
      </w:r>
      <w:r w:rsidR="00E66A8E">
        <w:rPr>
          <w:rFonts w:ascii="Times New Roman" w:hAnsi="Times New Roman" w:cs="Times New Roman"/>
        </w:rPr>
        <w:t xml:space="preserve">as prospectuses and calendars.  These are all matters which </w:t>
      </w:r>
      <w:r w:rsidR="002F559D">
        <w:rPr>
          <w:rFonts w:ascii="Times New Roman" w:hAnsi="Times New Roman" w:cs="Times New Roman"/>
        </w:rPr>
        <w:t>have been the subject of litigation in Australian courts and tribunals</w:t>
      </w:r>
      <w:r w:rsidR="007F6E2F">
        <w:rPr>
          <w:rFonts w:ascii="Times New Roman" w:hAnsi="Times New Roman" w:cs="Times New Roman"/>
        </w:rPr>
        <w:t>,</w:t>
      </w:r>
      <w:r w:rsidR="002F559D">
        <w:rPr>
          <w:rFonts w:ascii="Times New Roman" w:hAnsi="Times New Roman" w:cs="Times New Roman"/>
        </w:rPr>
        <w:t xml:space="preserve"> and </w:t>
      </w:r>
      <w:r w:rsidR="00EA27EE">
        <w:rPr>
          <w:rFonts w:ascii="Times New Roman" w:hAnsi="Times New Roman" w:cs="Times New Roman"/>
        </w:rPr>
        <w:t>of complaint to state and federal ombudsmen offices.</w:t>
      </w:r>
      <w:r w:rsidR="00EA27EE">
        <w:rPr>
          <w:rStyle w:val="FootnoteReference"/>
        </w:rPr>
        <w:footnoteReference w:id="50"/>
      </w:r>
    </w:p>
    <w:p w:rsidR="00CC4D7D" w:rsidRDefault="00CC4D7D" w:rsidP="00082027">
      <w:pPr>
        <w:pStyle w:val="Default"/>
        <w:spacing w:line="360" w:lineRule="auto"/>
        <w:rPr>
          <w:rFonts w:ascii="Times New Roman" w:hAnsi="Times New Roman" w:cs="Times New Roman"/>
        </w:rPr>
      </w:pPr>
    </w:p>
    <w:p w:rsidR="00082027" w:rsidRDefault="00082027" w:rsidP="00082027">
      <w:pPr>
        <w:pStyle w:val="Default"/>
        <w:spacing w:line="360" w:lineRule="auto"/>
        <w:rPr>
          <w:rFonts w:ascii="Times New Roman" w:hAnsi="Times New Roman" w:cs="Times New Roman"/>
          <w:b/>
        </w:rPr>
      </w:pPr>
      <w:r>
        <w:rPr>
          <w:rFonts w:ascii="Times New Roman" w:hAnsi="Times New Roman" w:cs="Times New Roman"/>
        </w:rPr>
        <w:t xml:space="preserve">In a </w:t>
      </w:r>
      <w:proofErr w:type="spellStart"/>
      <w:r>
        <w:rPr>
          <w:rFonts w:ascii="Times New Roman" w:hAnsi="Times New Roman" w:cs="Times New Roman"/>
        </w:rPr>
        <w:t>Communique</w:t>
      </w:r>
      <w:proofErr w:type="spellEnd"/>
      <w:r>
        <w:rPr>
          <w:rFonts w:ascii="Times New Roman" w:hAnsi="Times New Roman" w:cs="Times New Roman"/>
        </w:rPr>
        <w:t xml:space="preserve"> issued August 2012 the Higher Education Standards Panel, reiterated that</w:t>
      </w:r>
      <w:r w:rsidR="00E66A8E">
        <w:rPr>
          <w:rFonts w:ascii="Times New Roman" w:hAnsi="Times New Roman" w:cs="Times New Roman"/>
        </w:rPr>
        <w:t xml:space="preserve"> it is not contemplated </w:t>
      </w:r>
      <w:r w:rsidR="00FB3947">
        <w:rPr>
          <w:rFonts w:ascii="Times New Roman" w:hAnsi="Times New Roman" w:cs="Times New Roman"/>
        </w:rPr>
        <w:t xml:space="preserve">that </w:t>
      </w:r>
      <w:r w:rsidR="00E66A8E">
        <w:rPr>
          <w:rFonts w:ascii="Times New Roman" w:hAnsi="Times New Roman" w:cs="Times New Roman"/>
        </w:rPr>
        <w:t xml:space="preserve">regulation </w:t>
      </w:r>
      <w:r w:rsidR="00FB3947">
        <w:rPr>
          <w:rFonts w:ascii="Times New Roman" w:hAnsi="Times New Roman" w:cs="Times New Roman"/>
        </w:rPr>
        <w:t xml:space="preserve">will be expanded </w:t>
      </w:r>
      <w:r w:rsidR="00E66A8E">
        <w:rPr>
          <w:rFonts w:ascii="Times New Roman" w:hAnsi="Times New Roman" w:cs="Times New Roman"/>
        </w:rPr>
        <w:t>further than the Threshold Standards.  In the Panel’s own words this then raises questions about the role of non-threshold standards and what importance should be placed on their development.</w:t>
      </w:r>
      <w:r w:rsidR="00E66A8E">
        <w:rPr>
          <w:rStyle w:val="FootnoteReference"/>
        </w:rPr>
        <w:footnoteReference w:id="51"/>
      </w:r>
      <w:r w:rsidR="00E66A8E">
        <w:rPr>
          <w:rFonts w:ascii="Times New Roman" w:hAnsi="Times New Roman" w:cs="Times New Roman"/>
        </w:rPr>
        <w:t xml:space="preserve"> </w:t>
      </w:r>
    </w:p>
    <w:p w:rsidR="00FB3947" w:rsidRDefault="00FB3947" w:rsidP="00AD27A2">
      <w:pPr>
        <w:spacing w:line="360" w:lineRule="auto"/>
        <w:rPr>
          <w:rFonts w:ascii="Times New Roman" w:hAnsi="Times New Roman" w:cs="Times New Roman"/>
          <w:i/>
          <w:sz w:val="24"/>
          <w:szCs w:val="24"/>
        </w:rPr>
      </w:pPr>
    </w:p>
    <w:p w:rsidR="00402B6A" w:rsidRDefault="00F50393" w:rsidP="00AD27A2">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2.3 </w:t>
      </w:r>
      <w:r w:rsidR="00CC4D7D">
        <w:rPr>
          <w:rFonts w:ascii="Times New Roman" w:hAnsi="Times New Roman" w:cs="Times New Roman"/>
          <w:i/>
          <w:sz w:val="24"/>
          <w:szCs w:val="24"/>
        </w:rPr>
        <w:t xml:space="preserve">A </w:t>
      </w:r>
      <w:r w:rsidR="00F820EE" w:rsidRPr="00AD27A2">
        <w:rPr>
          <w:rFonts w:ascii="Times New Roman" w:hAnsi="Times New Roman" w:cs="Times New Roman"/>
          <w:i/>
          <w:sz w:val="24"/>
          <w:szCs w:val="24"/>
        </w:rPr>
        <w:t>Regulatory Risk Framework</w:t>
      </w:r>
      <w:r w:rsidR="008B45B3" w:rsidRPr="00AD27A2">
        <w:rPr>
          <w:rStyle w:val="FootnoteReference"/>
          <w:i/>
          <w:sz w:val="24"/>
          <w:szCs w:val="24"/>
        </w:rPr>
        <w:footnoteReference w:id="52"/>
      </w:r>
    </w:p>
    <w:p w:rsidR="00D76273" w:rsidRPr="00B16DE5" w:rsidRDefault="00D76273" w:rsidP="00D76273">
      <w:pPr>
        <w:spacing w:line="240" w:lineRule="auto"/>
        <w:ind w:left="851" w:right="2277"/>
        <w:rPr>
          <w:rFonts w:ascii="Times New Roman" w:hAnsi="Times New Roman" w:cs="Times New Roman"/>
          <w:sz w:val="20"/>
          <w:szCs w:val="20"/>
        </w:rPr>
      </w:pPr>
      <w:r>
        <w:rPr>
          <w:rFonts w:ascii="Times New Roman" w:hAnsi="Times New Roman" w:cs="Times New Roman"/>
          <w:sz w:val="20"/>
          <w:szCs w:val="20"/>
        </w:rPr>
        <w:t>...</w:t>
      </w:r>
      <w:r w:rsidRPr="00B16DE5">
        <w:rPr>
          <w:rFonts w:ascii="Times New Roman" w:hAnsi="Times New Roman" w:cs="Times New Roman"/>
          <w:sz w:val="20"/>
          <w:szCs w:val="20"/>
        </w:rPr>
        <w:t xml:space="preserve"> by applying a risk-based approach, TEQSA may adjust the frequency and intensity of regulatory review and quality assurance activities based on its risk assessment of a higher education provider.  The regulatory burden on providers is reduced where possible and TEQSA’s resources are more effectively t</w:t>
      </w:r>
      <w:r>
        <w:rPr>
          <w:rFonts w:ascii="Times New Roman" w:hAnsi="Times New Roman" w:cs="Times New Roman"/>
          <w:sz w:val="20"/>
          <w:szCs w:val="20"/>
        </w:rPr>
        <w:t>argeted</w:t>
      </w:r>
      <w:r w:rsidRPr="00B16DE5">
        <w:rPr>
          <w:rFonts w:ascii="Times New Roman" w:hAnsi="Times New Roman" w:cs="Times New Roman"/>
          <w:sz w:val="20"/>
          <w:szCs w:val="20"/>
        </w:rPr>
        <w:t xml:space="preserve">. </w:t>
      </w:r>
      <w:r w:rsidR="0094158E">
        <w:rPr>
          <w:rStyle w:val="FootnoteReference"/>
          <w:sz w:val="20"/>
          <w:szCs w:val="20"/>
        </w:rPr>
        <w:footnoteReference w:id="53"/>
      </w:r>
      <w:r w:rsidRPr="00B16DE5">
        <w:rPr>
          <w:rFonts w:ascii="Times New Roman" w:hAnsi="Times New Roman" w:cs="Times New Roman"/>
          <w:sz w:val="20"/>
          <w:szCs w:val="20"/>
        </w:rPr>
        <w:t xml:space="preserve">  </w:t>
      </w:r>
    </w:p>
    <w:p w:rsidR="00D76273" w:rsidRDefault="00D76273" w:rsidP="00C26091">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Framework aims to enable TEQSA to identify the risks at a provider and sector level, and provide responses to them.   In so doing it </w:t>
      </w:r>
      <w:r w:rsidR="00F820EE">
        <w:rPr>
          <w:rFonts w:ascii="Times New Roman" w:hAnsi="Times New Roman" w:cs="Times New Roman"/>
          <w:sz w:val="24"/>
          <w:szCs w:val="24"/>
        </w:rPr>
        <w:t>plays a key part in TEQSA’s functions of regulation and quality assurance in the diverse and complex higher education sector in Australia.</w:t>
      </w:r>
      <w:r w:rsidR="005D3522">
        <w:rPr>
          <w:rStyle w:val="FootnoteReference"/>
          <w:sz w:val="24"/>
          <w:szCs w:val="24"/>
        </w:rPr>
        <w:footnoteReference w:id="54"/>
      </w:r>
      <w:r w:rsidR="00C26091">
        <w:rPr>
          <w:rFonts w:ascii="Times New Roman" w:hAnsi="Times New Roman" w:cs="Times New Roman"/>
          <w:sz w:val="24"/>
          <w:szCs w:val="24"/>
        </w:rPr>
        <w:t xml:space="preserve">  The emphasis is </w:t>
      </w:r>
      <w:r>
        <w:rPr>
          <w:rFonts w:ascii="Times New Roman" w:hAnsi="Times New Roman" w:cs="Times New Roman"/>
          <w:sz w:val="24"/>
          <w:szCs w:val="24"/>
        </w:rPr>
        <w:t xml:space="preserve">stated to be </w:t>
      </w:r>
      <w:r w:rsidR="00C26091">
        <w:rPr>
          <w:rFonts w:ascii="Times New Roman" w:hAnsi="Times New Roman" w:cs="Times New Roman"/>
          <w:sz w:val="24"/>
          <w:szCs w:val="24"/>
        </w:rPr>
        <w:t>on an ongoing dialogue between TEQSA and providers about their own risk identification and management</w:t>
      </w:r>
      <w:r w:rsidR="0044502F">
        <w:rPr>
          <w:rFonts w:ascii="Times New Roman" w:hAnsi="Times New Roman" w:cs="Times New Roman"/>
          <w:sz w:val="24"/>
          <w:szCs w:val="24"/>
        </w:rPr>
        <w:t>, in particular requiring them to focus on their risks relative to the Threshold Standards.</w:t>
      </w:r>
      <w:r w:rsidR="00C26091">
        <w:rPr>
          <w:rFonts w:ascii="Times New Roman" w:hAnsi="Times New Roman" w:cs="Times New Roman"/>
          <w:sz w:val="24"/>
          <w:szCs w:val="24"/>
        </w:rPr>
        <w:t xml:space="preserve"> Where serious risk is identified, TEQSA will be able to intervene. </w:t>
      </w:r>
      <w:r w:rsidR="0044502F">
        <w:rPr>
          <w:rFonts w:ascii="Times New Roman" w:hAnsi="Times New Roman" w:cs="Times New Roman"/>
          <w:sz w:val="24"/>
          <w:szCs w:val="24"/>
        </w:rPr>
        <w:t xml:space="preserve"> </w:t>
      </w:r>
    </w:p>
    <w:p w:rsidR="00C26091" w:rsidRDefault="00D76273" w:rsidP="00C26091">
      <w:pPr>
        <w:spacing w:line="360" w:lineRule="auto"/>
        <w:rPr>
          <w:rFonts w:ascii="Times New Roman" w:hAnsi="Times New Roman" w:cs="Times New Roman"/>
          <w:sz w:val="24"/>
          <w:szCs w:val="24"/>
        </w:rPr>
      </w:pPr>
      <w:r>
        <w:rPr>
          <w:rFonts w:ascii="Times New Roman" w:hAnsi="Times New Roman" w:cs="Times New Roman"/>
          <w:sz w:val="24"/>
          <w:szCs w:val="24"/>
        </w:rPr>
        <w:t xml:space="preserve">Initially, </w:t>
      </w:r>
      <w:r w:rsidR="005D3522">
        <w:rPr>
          <w:rFonts w:ascii="Times New Roman" w:hAnsi="Times New Roman" w:cs="Times New Roman"/>
          <w:sz w:val="24"/>
          <w:szCs w:val="24"/>
        </w:rPr>
        <w:t>TEQSA will use the Framework to create and maintain ‘risk profiles of all higher education providers</w:t>
      </w:r>
      <w:r w:rsidR="00B16DE5">
        <w:rPr>
          <w:rFonts w:ascii="Times New Roman" w:hAnsi="Times New Roman" w:cs="Times New Roman"/>
          <w:sz w:val="24"/>
          <w:szCs w:val="24"/>
        </w:rPr>
        <w:t>’</w:t>
      </w:r>
      <w:r w:rsidR="005D3522">
        <w:rPr>
          <w:rFonts w:ascii="Times New Roman" w:hAnsi="Times New Roman" w:cs="Times New Roman"/>
          <w:sz w:val="24"/>
          <w:szCs w:val="24"/>
        </w:rPr>
        <w:t xml:space="preserve"> and the principles underpinning its policy are set out as:</w:t>
      </w:r>
    </w:p>
    <w:p w:rsidR="005D3522" w:rsidRDefault="005D3522" w:rsidP="005D3522">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Risk management is a foundation to effective and proportionate regulation, based on compliance with the Threshold Standards;</w:t>
      </w:r>
    </w:p>
    <w:p w:rsidR="005D3522" w:rsidRDefault="005D3522" w:rsidP="005D3522">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It is recognized that it is neither desirable nor possible to eliminate all risk, and some measure is imperative for innovation and growth;</w:t>
      </w:r>
    </w:p>
    <w:p w:rsidR="005D3522" w:rsidRDefault="005D3522" w:rsidP="005D3522">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The approach to risk management should be holistic</w:t>
      </w:r>
      <w:r w:rsidR="00AB1561">
        <w:rPr>
          <w:rFonts w:ascii="Times New Roman" w:hAnsi="Times New Roman" w:cs="Times New Roman"/>
          <w:sz w:val="24"/>
          <w:szCs w:val="24"/>
        </w:rPr>
        <w:t xml:space="preserve"> based on the best available data;</w:t>
      </w:r>
    </w:p>
    <w:p w:rsidR="00AB1561" w:rsidRDefault="00AB1561" w:rsidP="005D3522">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It should be subject to expert interpretation, taking into account wider operating, social and historical contexts of different institutions;</w:t>
      </w:r>
    </w:p>
    <w:p w:rsidR="00B16DE5" w:rsidRDefault="00AB1561" w:rsidP="00C26091">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Risk management should be based on two-way communication and should be seen as an active and evolving process.</w:t>
      </w:r>
    </w:p>
    <w:p w:rsidR="0028720C" w:rsidRDefault="0044502F" w:rsidP="00B16DE5">
      <w:pPr>
        <w:spacing w:line="360" w:lineRule="auto"/>
        <w:rPr>
          <w:rFonts w:ascii="Times New Roman" w:hAnsi="Times New Roman" w:cs="Times New Roman"/>
          <w:sz w:val="24"/>
          <w:szCs w:val="24"/>
        </w:rPr>
      </w:pPr>
      <w:r w:rsidRPr="00B16DE5">
        <w:rPr>
          <w:rFonts w:ascii="Times New Roman" w:hAnsi="Times New Roman" w:cs="Times New Roman"/>
          <w:sz w:val="24"/>
          <w:szCs w:val="24"/>
        </w:rPr>
        <w:t>TEQSA</w:t>
      </w:r>
      <w:r w:rsidR="00B16DE5">
        <w:rPr>
          <w:rFonts w:ascii="Times New Roman" w:hAnsi="Times New Roman" w:cs="Times New Roman"/>
          <w:sz w:val="24"/>
          <w:szCs w:val="24"/>
        </w:rPr>
        <w:t xml:space="preserve"> states its approach to ‘regulatory risk management’ under the Framework to be, within the context of the legislation and its ‘evolution as an organization’, alignment with its ‘tolerance for risk’</w:t>
      </w:r>
      <w:r w:rsidR="0028720C">
        <w:rPr>
          <w:rFonts w:ascii="Times New Roman" w:hAnsi="Times New Roman" w:cs="Times New Roman"/>
          <w:sz w:val="24"/>
          <w:szCs w:val="24"/>
        </w:rPr>
        <w:t xml:space="preserve"> based on the view that the Threshold standards are challen</w:t>
      </w:r>
      <w:r w:rsidR="0094158E">
        <w:rPr>
          <w:rFonts w:ascii="Times New Roman" w:hAnsi="Times New Roman" w:cs="Times New Roman"/>
          <w:sz w:val="24"/>
          <w:szCs w:val="24"/>
        </w:rPr>
        <w:t>ging, as is the dynamic</w:t>
      </w:r>
      <w:r w:rsidR="0028720C">
        <w:rPr>
          <w:rFonts w:ascii="Times New Roman" w:hAnsi="Times New Roman" w:cs="Times New Roman"/>
          <w:sz w:val="24"/>
          <w:szCs w:val="24"/>
        </w:rPr>
        <w:t xml:space="preserve">–risk fraught environment of higher education.  </w:t>
      </w:r>
    </w:p>
    <w:p w:rsidR="0044502F" w:rsidRPr="00B16DE5" w:rsidRDefault="00B16DE5" w:rsidP="00B16DE5">
      <w:pPr>
        <w:spacing w:line="360" w:lineRule="auto"/>
        <w:rPr>
          <w:rFonts w:ascii="Times New Roman" w:hAnsi="Times New Roman" w:cs="Times New Roman"/>
          <w:sz w:val="24"/>
          <w:szCs w:val="24"/>
        </w:rPr>
      </w:pPr>
      <w:r>
        <w:rPr>
          <w:rFonts w:ascii="Times New Roman" w:hAnsi="Times New Roman" w:cs="Times New Roman"/>
          <w:sz w:val="24"/>
          <w:szCs w:val="24"/>
        </w:rPr>
        <w:t xml:space="preserve"> It</w:t>
      </w:r>
      <w:r w:rsidR="0044502F" w:rsidRPr="00B16DE5">
        <w:rPr>
          <w:rFonts w:ascii="Times New Roman" w:hAnsi="Times New Roman" w:cs="Times New Roman"/>
          <w:sz w:val="24"/>
          <w:szCs w:val="24"/>
        </w:rPr>
        <w:t xml:space="preserve"> has emphas</w:t>
      </w:r>
      <w:r w:rsidR="00D76273">
        <w:rPr>
          <w:rFonts w:ascii="Times New Roman" w:hAnsi="Times New Roman" w:cs="Times New Roman"/>
          <w:sz w:val="24"/>
          <w:szCs w:val="24"/>
        </w:rPr>
        <w:t xml:space="preserve">ised </w:t>
      </w:r>
      <w:r w:rsidR="0044502F" w:rsidRPr="00B16DE5">
        <w:rPr>
          <w:rFonts w:ascii="Times New Roman" w:hAnsi="Times New Roman" w:cs="Times New Roman"/>
          <w:sz w:val="24"/>
          <w:szCs w:val="24"/>
        </w:rPr>
        <w:t xml:space="preserve">that </w:t>
      </w:r>
      <w:r>
        <w:rPr>
          <w:rFonts w:ascii="Times New Roman" w:hAnsi="Times New Roman" w:cs="Times New Roman"/>
          <w:sz w:val="24"/>
          <w:szCs w:val="24"/>
        </w:rPr>
        <w:t xml:space="preserve">risk profiles prepared under the Framework are </w:t>
      </w:r>
      <w:r w:rsidR="0044502F" w:rsidRPr="00B16DE5">
        <w:rPr>
          <w:rFonts w:ascii="Times New Roman" w:hAnsi="Times New Roman" w:cs="Times New Roman"/>
          <w:sz w:val="24"/>
          <w:szCs w:val="24"/>
        </w:rPr>
        <w:t>not intended to constitute ‘performance profiles’ of providers</w:t>
      </w:r>
      <w:r>
        <w:rPr>
          <w:rFonts w:ascii="Times New Roman" w:hAnsi="Times New Roman" w:cs="Times New Roman"/>
          <w:sz w:val="24"/>
          <w:szCs w:val="24"/>
        </w:rPr>
        <w:t>,</w:t>
      </w:r>
      <w:r w:rsidR="0044502F" w:rsidRPr="00B16DE5">
        <w:rPr>
          <w:rFonts w:ascii="Times New Roman" w:hAnsi="Times New Roman" w:cs="Times New Roman"/>
          <w:sz w:val="24"/>
          <w:szCs w:val="24"/>
        </w:rPr>
        <w:t xml:space="preserve"> or result in a new f</w:t>
      </w:r>
      <w:r>
        <w:rPr>
          <w:rFonts w:ascii="Times New Roman" w:hAnsi="Times New Roman" w:cs="Times New Roman"/>
          <w:sz w:val="24"/>
          <w:szCs w:val="24"/>
        </w:rPr>
        <w:t xml:space="preserve">orm of ‘provider ranking’.  </w:t>
      </w:r>
      <w:r w:rsidR="00D76273">
        <w:rPr>
          <w:rFonts w:ascii="Times New Roman" w:hAnsi="Times New Roman" w:cs="Times New Roman"/>
          <w:sz w:val="24"/>
          <w:szCs w:val="24"/>
        </w:rPr>
        <w:t>Such a result</w:t>
      </w:r>
      <w:r w:rsidR="00D76273" w:rsidRPr="00B16DE5">
        <w:rPr>
          <w:rFonts w:ascii="Times New Roman" w:hAnsi="Times New Roman" w:cs="Times New Roman"/>
          <w:sz w:val="24"/>
          <w:szCs w:val="24"/>
        </w:rPr>
        <w:t xml:space="preserve"> could </w:t>
      </w:r>
      <w:r w:rsidR="00D76273">
        <w:rPr>
          <w:rFonts w:ascii="Times New Roman" w:hAnsi="Times New Roman" w:cs="Times New Roman"/>
          <w:sz w:val="24"/>
          <w:szCs w:val="24"/>
        </w:rPr>
        <w:t xml:space="preserve">obviously </w:t>
      </w:r>
      <w:r w:rsidR="00D76273" w:rsidRPr="00B16DE5">
        <w:rPr>
          <w:rFonts w:ascii="Times New Roman" w:hAnsi="Times New Roman" w:cs="Times New Roman"/>
          <w:sz w:val="24"/>
          <w:szCs w:val="24"/>
        </w:rPr>
        <w:t xml:space="preserve">prove damaging for providers and have </w:t>
      </w:r>
      <w:r w:rsidR="00D76273">
        <w:rPr>
          <w:rFonts w:ascii="Times New Roman" w:hAnsi="Times New Roman" w:cs="Times New Roman"/>
          <w:sz w:val="24"/>
          <w:szCs w:val="24"/>
        </w:rPr>
        <w:t>a negative impact on students, and it is unclear how this outcome will be prevented.  TEQSA does point</w:t>
      </w:r>
      <w:r>
        <w:rPr>
          <w:rFonts w:ascii="Times New Roman" w:hAnsi="Times New Roman" w:cs="Times New Roman"/>
          <w:sz w:val="24"/>
          <w:szCs w:val="24"/>
        </w:rPr>
        <w:t xml:space="preserve"> to </w:t>
      </w:r>
      <w:r w:rsidR="005D3522" w:rsidRPr="00B16DE5">
        <w:rPr>
          <w:rFonts w:ascii="Times New Roman" w:hAnsi="Times New Roman" w:cs="Times New Roman"/>
          <w:sz w:val="24"/>
          <w:szCs w:val="24"/>
        </w:rPr>
        <w:t>other avenues such as the “</w:t>
      </w:r>
      <w:proofErr w:type="spellStart"/>
      <w:r w:rsidR="005D3522" w:rsidRPr="00B16DE5">
        <w:rPr>
          <w:rFonts w:ascii="Times New Roman" w:hAnsi="Times New Roman" w:cs="Times New Roman"/>
          <w:sz w:val="24"/>
          <w:szCs w:val="24"/>
        </w:rPr>
        <w:t>MyUniversity</w:t>
      </w:r>
      <w:proofErr w:type="spellEnd"/>
      <w:r w:rsidR="005D3522" w:rsidRPr="00B16DE5">
        <w:rPr>
          <w:rFonts w:ascii="Times New Roman" w:hAnsi="Times New Roman" w:cs="Times New Roman"/>
          <w:sz w:val="24"/>
          <w:szCs w:val="24"/>
        </w:rPr>
        <w:t>” website which will enable students and their parents to make decisions armed with accurate performance information.</w:t>
      </w:r>
      <w:r w:rsidR="00D76273">
        <w:rPr>
          <w:rFonts w:ascii="Times New Roman" w:hAnsi="Times New Roman" w:cs="Times New Roman"/>
          <w:sz w:val="24"/>
          <w:szCs w:val="24"/>
        </w:rPr>
        <w:t xml:space="preserve">  </w:t>
      </w:r>
      <w:r w:rsidR="00FB3947">
        <w:rPr>
          <w:rFonts w:ascii="Times New Roman" w:hAnsi="Times New Roman" w:cs="Times New Roman"/>
          <w:sz w:val="24"/>
          <w:szCs w:val="24"/>
        </w:rPr>
        <w:t>It remains</w:t>
      </w:r>
      <w:r w:rsidR="00D76273">
        <w:rPr>
          <w:rFonts w:ascii="Times New Roman" w:hAnsi="Times New Roman" w:cs="Times New Roman"/>
          <w:sz w:val="24"/>
          <w:szCs w:val="24"/>
        </w:rPr>
        <w:t xml:space="preserve"> unclear as to what information will </w:t>
      </w:r>
      <w:r w:rsidR="00FB3947">
        <w:rPr>
          <w:rFonts w:ascii="Times New Roman" w:hAnsi="Times New Roman" w:cs="Times New Roman"/>
          <w:sz w:val="24"/>
          <w:szCs w:val="24"/>
        </w:rPr>
        <w:t xml:space="preserve">ultimately </w:t>
      </w:r>
      <w:r w:rsidR="00D76273">
        <w:rPr>
          <w:rFonts w:ascii="Times New Roman" w:hAnsi="Times New Roman" w:cs="Times New Roman"/>
          <w:sz w:val="24"/>
          <w:szCs w:val="24"/>
        </w:rPr>
        <w:t>appear on that site.</w:t>
      </w:r>
    </w:p>
    <w:p w:rsidR="00D76273" w:rsidRDefault="00FB3947" w:rsidP="00C26091">
      <w:pPr>
        <w:spacing w:line="360" w:lineRule="auto"/>
        <w:rPr>
          <w:rFonts w:ascii="Times New Roman" w:hAnsi="Times New Roman" w:cs="Times New Roman"/>
          <w:sz w:val="24"/>
          <w:szCs w:val="24"/>
        </w:rPr>
      </w:pPr>
      <w:r>
        <w:rPr>
          <w:rFonts w:ascii="Times New Roman" w:hAnsi="Times New Roman" w:cs="Times New Roman"/>
          <w:sz w:val="24"/>
          <w:szCs w:val="24"/>
        </w:rPr>
        <w:t xml:space="preserve">For </w:t>
      </w:r>
      <w:r w:rsidR="0028720C">
        <w:rPr>
          <w:rFonts w:ascii="Times New Roman" w:hAnsi="Times New Roman" w:cs="Times New Roman"/>
          <w:sz w:val="24"/>
          <w:szCs w:val="24"/>
        </w:rPr>
        <w:t>individual providers, TEQSA’s risk management proc</w:t>
      </w:r>
      <w:r>
        <w:rPr>
          <w:rFonts w:ascii="Times New Roman" w:hAnsi="Times New Roman" w:cs="Times New Roman"/>
          <w:sz w:val="24"/>
          <w:szCs w:val="24"/>
        </w:rPr>
        <w:t xml:space="preserve">ess will be undertaken by the </w:t>
      </w:r>
      <w:r w:rsidR="0028720C">
        <w:rPr>
          <w:rFonts w:ascii="Times New Roman" w:hAnsi="Times New Roman" w:cs="Times New Roman"/>
          <w:sz w:val="24"/>
          <w:szCs w:val="24"/>
        </w:rPr>
        <w:t xml:space="preserve">obtaining </w:t>
      </w:r>
      <w:r w:rsidR="00D76273">
        <w:rPr>
          <w:rFonts w:ascii="Times New Roman" w:hAnsi="Times New Roman" w:cs="Times New Roman"/>
          <w:sz w:val="24"/>
          <w:szCs w:val="24"/>
        </w:rPr>
        <w:t xml:space="preserve">of </w:t>
      </w:r>
      <w:r w:rsidR="0028720C">
        <w:rPr>
          <w:rFonts w:ascii="Times New Roman" w:hAnsi="Times New Roman" w:cs="Times New Roman"/>
          <w:sz w:val="24"/>
          <w:szCs w:val="24"/>
        </w:rPr>
        <w:t xml:space="preserve">information and data both from the providers and </w:t>
      </w:r>
      <w:r w:rsidR="00D76273">
        <w:rPr>
          <w:rFonts w:ascii="Times New Roman" w:hAnsi="Times New Roman" w:cs="Times New Roman"/>
          <w:sz w:val="24"/>
          <w:szCs w:val="24"/>
        </w:rPr>
        <w:t xml:space="preserve">from </w:t>
      </w:r>
      <w:r w:rsidR="0028720C">
        <w:rPr>
          <w:rFonts w:ascii="Times New Roman" w:hAnsi="Times New Roman" w:cs="Times New Roman"/>
          <w:sz w:val="24"/>
          <w:szCs w:val="24"/>
        </w:rPr>
        <w:t>publicly available</w:t>
      </w:r>
      <w:r w:rsidR="00D76273">
        <w:rPr>
          <w:rFonts w:ascii="Times New Roman" w:hAnsi="Times New Roman" w:cs="Times New Roman"/>
          <w:sz w:val="24"/>
          <w:szCs w:val="24"/>
        </w:rPr>
        <w:t xml:space="preserve"> sources</w:t>
      </w:r>
      <w:r w:rsidR="0028720C">
        <w:rPr>
          <w:rFonts w:ascii="Times New Roman" w:hAnsi="Times New Roman" w:cs="Times New Roman"/>
          <w:sz w:val="24"/>
          <w:szCs w:val="24"/>
        </w:rPr>
        <w:t>.  The process will be undertaken annually and at any time when new information is available or ther</w:t>
      </w:r>
      <w:r>
        <w:rPr>
          <w:rFonts w:ascii="Times New Roman" w:hAnsi="Times New Roman" w:cs="Times New Roman"/>
          <w:sz w:val="24"/>
          <w:szCs w:val="24"/>
        </w:rPr>
        <w:t>e are significant changes.  This process</w:t>
      </w:r>
      <w:r w:rsidR="0028720C">
        <w:rPr>
          <w:rFonts w:ascii="Times New Roman" w:hAnsi="Times New Roman" w:cs="Times New Roman"/>
          <w:sz w:val="24"/>
          <w:szCs w:val="24"/>
        </w:rPr>
        <w:t xml:space="preserve"> involves six steps: risk context (key information on the provider’s environment), risk assessment (using data and expert analysis), risk controls assessment (in discussion with the provider),</w:t>
      </w:r>
      <w:r w:rsidR="008B45B3">
        <w:rPr>
          <w:rFonts w:ascii="Times New Roman" w:hAnsi="Times New Roman" w:cs="Times New Roman"/>
          <w:sz w:val="24"/>
          <w:szCs w:val="24"/>
        </w:rPr>
        <w:t xml:space="preserve"> </w:t>
      </w:r>
      <w:r w:rsidR="004C4A0C">
        <w:rPr>
          <w:rFonts w:ascii="Times New Roman" w:hAnsi="Times New Roman" w:cs="Times New Roman"/>
          <w:sz w:val="24"/>
          <w:szCs w:val="24"/>
        </w:rPr>
        <w:t xml:space="preserve">risk analysis (summative assessment post the above step), risk evaluation (overall qualitative determination against ‘priority risk consequence areas’ – risk to students, risk of provider collapse and risk to sector reputation for quality.  The final step in this process is the action assessment (overall recommendation subject to the three regulatory principles of TEQSA).  </w:t>
      </w:r>
    </w:p>
    <w:p w:rsidR="008B45B3" w:rsidRDefault="004C4A0C" w:rsidP="00C26091">
      <w:pPr>
        <w:spacing w:line="360" w:lineRule="auto"/>
        <w:rPr>
          <w:rFonts w:ascii="Times New Roman" w:hAnsi="Times New Roman" w:cs="Times New Roman"/>
          <w:sz w:val="24"/>
          <w:szCs w:val="24"/>
        </w:rPr>
      </w:pPr>
      <w:r>
        <w:rPr>
          <w:rFonts w:ascii="Times New Roman" w:hAnsi="Times New Roman" w:cs="Times New Roman"/>
          <w:sz w:val="24"/>
          <w:szCs w:val="24"/>
        </w:rPr>
        <w:t xml:space="preserve">Many universities </w:t>
      </w:r>
      <w:r w:rsidR="008B45B3">
        <w:rPr>
          <w:rFonts w:ascii="Times New Roman" w:hAnsi="Times New Roman" w:cs="Times New Roman"/>
          <w:sz w:val="24"/>
          <w:szCs w:val="24"/>
        </w:rPr>
        <w:t xml:space="preserve">are </w:t>
      </w:r>
      <w:r>
        <w:rPr>
          <w:rFonts w:ascii="Times New Roman" w:hAnsi="Times New Roman" w:cs="Times New Roman"/>
          <w:sz w:val="24"/>
          <w:szCs w:val="24"/>
        </w:rPr>
        <w:t xml:space="preserve">currently </w:t>
      </w:r>
      <w:r w:rsidR="008B45B3">
        <w:rPr>
          <w:rFonts w:ascii="Times New Roman" w:hAnsi="Times New Roman" w:cs="Times New Roman"/>
          <w:sz w:val="24"/>
          <w:szCs w:val="24"/>
        </w:rPr>
        <w:t xml:space="preserve">engaged in </w:t>
      </w:r>
      <w:r>
        <w:rPr>
          <w:rFonts w:ascii="Times New Roman" w:hAnsi="Times New Roman" w:cs="Times New Roman"/>
          <w:sz w:val="24"/>
          <w:szCs w:val="24"/>
        </w:rPr>
        <w:t xml:space="preserve">their own </w:t>
      </w:r>
      <w:r w:rsidR="008B45B3">
        <w:rPr>
          <w:rFonts w:ascii="Times New Roman" w:hAnsi="Times New Roman" w:cs="Times New Roman"/>
          <w:sz w:val="24"/>
          <w:szCs w:val="24"/>
        </w:rPr>
        <w:t>comprehensive risk assessment exercises</w:t>
      </w:r>
      <w:r w:rsidR="0094158E">
        <w:rPr>
          <w:rFonts w:ascii="Times New Roman" w:hAnsi="Times New Roman" w:cs="Times New Roman"/>
          <w:sz w:val="24"/>
          <w:szCs w:val="24"/>
        </w:rPr>
        <w:t xml:space="preserve"> in line with TEQSA’s evaluation process</w:t>
      </w:r>
      <w:r w:rsidR="008B45B3">
        <w:rPr>
          <w:rFonts w:ascii="Times New Roman" w:hAnsi="Times New Roman" w:cs="Times New Roman"/>
          <w:sz w:val="24"/>
          <w:szCs w:val="24"/>
        </w:rPr>
        <w:t>.</w:t>
      </w:r>
    </w:p>
    <w:p w:rsidR="005F16D1" w:rsidRPr="00AD27A2" w:rsidRDefault="00F50393" w:rsidP="00AD27A2">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2.4 </w:t>
      </w:r>
      <w:r w:rsidR="00AD27A2" w:rsidRPr="00AD27A2">
        <w:rPr>
          <w:rFonts w:ascii="Times New Roman" w:hAnsi="Times New Roman" w:cs="Times New Roman"/>
          <w:i/>
          <w:sz w:val="24"/>
          <w:szCs w:val="24"/>
        </w:rPr>
        <w:t>The r</w:t>
      </w:r>
      <w:r w:rsidR="005D29B2" w:rsidRPr="00AD27A2">
        <w:rPr>
          <w:rFonts w:ascii="Times New Roman" w:hAnsi="Times New Roman" w:cs="Times New Roman"/>
          <w:i/>
          <w:sz w:val="24"/>
          <w:szCs w:val="24"/>
        </w:rPr>
        <w:t xml:space="preserve">evised </w:t>
      </w:r>
      <w:r w:rsidR="00F00835" w:rsidRPr="00AD27A2">
        <w:rPr>
          <w:rFonts w:ascii="Times New Roman" w:hAnsi="Times New Roman" w:cs="Times New Roman"/>
          <w:i/>
          <w:sz w:val="24"/>
          <w:szCs w:val="24"/>
        </w:rPr>
        <w:t>Australian Qualifications Framework (AQF)</w:t>
      </w:r>
      <w:r w:rsidR="00402B6A" w:rsidRPr="00AD27A2">
        <w:rPr>
          <w:rFonts w:ascii="Times New Roman" w:hAnsi="Times New Roman" w:cs="Times New Roman"/>
          <w:i/>
          <w:sz w:val="24"/>
          <w:szCs w:val="24"/>
        </w:rPr>
        <w:t xml:space="preserve"> and the Qualifications </w:t>
      </w:r>
      <w:r w:rsidR="00AD27A2" w:rsidRPr="00AD27A2">
        <w:rPr>
          <w:rFonts w:ascii="Times New Roman" w:hAnsi="Times New Roman" w:cs="Times New Roman"/>
          <w:i/>
          <w:sz w:val="24"/>
          <w:szCs w:val="24"/>
        </w:rPr>
        <w:t>Standards</w:t>
      </w:r>
    </w:p>
    <w:p w:rsidR="007945BD" w:rsidRDefault="00402B6A" w:rsidP="002E281B">
      <w:pPr>
        <w:spacing w:line="360" w:lineRule="auto"/>
        <w:rPr>
          <w:rFonts w:ascii="Times New Roman" w:hAnsi="Times New Roman" w:cs="Times New Roman"/>
          <w:b/>
          <w:sz w:val="24"/>
          <w:szCs w:val="24"/>
        </w:rPr>
      </w:pPr>
      <w:r>
        <w:rPr>
          <w:rFonts w:ascii="Times New Roman" w:hAnsi="Times New Roman" w:cs="Times New Roman"/>
          <w:sz w:val="24"/>
          <w:szCs w:val="24"/>
        </w:rPr>
        <w:t xml:space="preserve">The </w:t>
      </w:r>
      <w:r w:rsidR="00D76273">
        <w:rPr>
          <w:rFonts w:ascii="Times New Roman" w:hAnsi="Times New Roman" w:cs="Times New Roman"/>
          <w:sz w:val="24"/>
          <w:szCs w:val="24"/>
        </w:rPr>
        <w:t xml:space="preserve">newly revised </w:t>
      </w:r>
      <w:r>
        <w:rPr>
          <w:rFonts w:ascii="Times New Roman" w:hAnsi="Times New Roman" w:cs="Times New Roman"/>
          <w:sz w:val="24"/>
          <w:szCs w:val="24"/>
        </w:rPr>
        <w:t xml:space="preserve">AQF </w:t>
      </w:r>
      <w:r w:rsidR="00D76273">
        <w:rPr>
          <w:rFonts w:ascii="Times New Roman" w:hAnsi="Times New Roman" w:cs="Times New Roman"/>
          <w:sz w:val="24"/>
          <w:szCs w:val="24"/>
        </w:rPr>
        <w:t>forms</w:t>
      </w:r>
      <w:r>
        <w:rPr>
          <w:rFonts w:ascii="Times New Roman" w:hAnsi="Times New Roman" w:cs="Times New Roman"/>
          <w:sz w:val="24"/>
          <w:szCs w:val="24"/>
        </w:rPr>
        <w:t xml:space="preserve"> the basis for the Qualifications Standards in the TEQSA Higher Education Threshold Standards 2011,</w:t>
      </w:r>
      <w:r w:rsidRPr="00402B6A">
        <w:rPr>
          <w:rStyle w:val="FootnoteReference"/>
          <w:rFonts w:eastAsia="Times New Roman"/>
          <w:color w:val="667986"/>
          <w:sz w:val="24"/>
          <w:szCs w:val="24"/>
          <w:lang w:val="en-US"/>
        </w:rPr>
        <w:t xml:space="preserve"> </w:t>
      </w:r>
      <w:r>
        <w:rPr>
          <w:rStyle w:val="FootnoteReference"/>
          <w:rFonts w:eastAsia="Times New Roman"/>
          <w:color w:val="667986"/>
          <w:sz w:val="24"/>
          <w:szCs w:val="24"/>
          <w:lang w:val="en-US"/>
        </w:rPr>
        <w:footnoteReference w:id="55"/>
      </w:r>
      <w:r w:rsidR="007945BD">
        <w:rPr>
          <w:rFonts w:ascii="Times New Roman" w:hAnsi="Times New Roman" w:cs="Times New Roman"/>
          <w:sz w:val="24"/>
          <w:szCs w:val="24"/>
        </w:rPr>
        <w:t>and q</w:t>
      </w:r>
      <w:r w:rsidR="007945BD" w:rsidRPr="00B6620A">
        <w:rPr>
          <w:rFonts w:ascii="Times New Roman" w:hAnsi="Times New Roman" w:cs="Times New Roman"/>
          <w:sz w:val="24"/>
          <w:szCs w:val="24"/>
        </w:rPr>
        <w:t xml:space="preserve">ualifications from each education and training sector in Australia have been incorporated into the </w:t>
      </w:r>
      <w:r w:rsidR="007945BD">
        <w:rPr>
          <w:rFonts w:ascii="Times New Roman" w:hAnsi="Times New Roman" w:cs="Times New Roman"/>
          <w:sz w:val="24"/>
          <w:szCs w:val="24"/>
        </w:rPr>
        <w:t xml:space="preserve">Standards </w:t>
      </w:r>
      <w:r w:rsidR="007945BD" w:rsidRPr="00B6620A">
        <w:rPr>
          <w:rFonts w:ascii="Times New Roman" w:hAnsi="Times New Roman" w:cs="Times New Roman"/>
          <w:sz w:val="24"/>
          <w:szCs w:val="24"/>
        </w:rPr>
        <w:t xml:space="preserve">with implementation from July 2011. </w:t>
      </w:r>
      <w:r w:rsidR="0094158E">
        <w:rPr>
          <w:rFonts w:ascii="Times New Roman" w:hAnsi="Times New Roman" w:cs="Times New Roman"/>
          <w:sz w:val="24"/>
          <w:szCs w:val="24"/>
        </w:rPr>
        <w:t xml:space="preserve"> </w:t>
      </w:r>
      <w:r w:rsidR="00FB3947">
        <w:rPr>
          <w:rFonts w:ascii="Times New Roman" w:hAnsi="Times New Roman" w:cs="Times New Roman"/>
          <w:sz w:val="24"/>
          <w:szCs w:val="24"/>
        </w:rPr>
        <w:t>In line with a major recommendation of the Bradley Review, t</w:t>
      </w:r>
      <w:r w:rsidR="0094158E">
        <w:rPr>
          <w:rFonts w:ascii="Times New Roman" w:hAnsi="Times New Roman" w:cs="Times New Roman"/>
          <w:sz w:val="24"/>
          <w:szCs w:val="24"/>
        </w:rPr>
        <w:t>he Framework</w:t>
      </w:r>
      <w:r w:rsidR="00D76273">
        <w:rPr>
          <w:rFonts w:ascii="Times New Roman" w:hAnsi="Times New Roman" w:cs="Times New Roman"/>
          <w:sz w:val="24"/>
          <w:szCs w:val="24"/>
        </w:rPr>
        <w:t xml:space="preserve"> is aimed at </w:t>
      </w:r>
      <w:r w:rsidR="00A92A0D">
        <w:rPr>
          <w:rFonts w:ascii="Times New Roman" w:hAnsi="Times New Roman" w:cs="Times New Roman"/>
          <w:sz w:val="24"/>
          <w:szCs w:val="24"/>
        </w:rPr>
        <w:t>facilitating connectivity and thus articulation between qualifications at all levels</w:t>
      </w:r>
      <w:r w:rsidR="007945BD">
        <w:rPr>
          <w:rFonts w:ascii="Times New Roman" w:hAnsi="Times New Roman" w:cs="Times New Roman"/>
          <w:sz w:val="24"/>
          <w:szCs w:val="24"/>
        </w:rPr>
        <w:t xml:space="preserve">, </w:t>
      </w:r>
      <w:r w:rsidR="00A92A0D">
        <w:rPr>
          <w:rFonts w:ascii="Times New Roman" w:hAnsi="Times New Roman" w:cs="Times New Roman"/>
          <w:sz w:val="24"/>
          <w:szCs w:val="24"/>
        </w:rPr>
        <w:t xml:space="preserve">particularly </w:t>
      </w:r>
      <w:r w:rsidR="007945BD">
        <w:rPr>
          <w:rFonts w:ascii="Times New Roman" w:hAnsi="Times New Roman" w:cs="Times New Roman"/>
          <w:sz w:val="24"/>
          <w:szCs w:val="24"/>
        </w:rPr>
        <w:t xml:space="preserve">in this case </w:t>
      </w:r>
      <w:r w:rsidR="00A92A0D">
        <w:rPr>
          <w:rFonts w:ascii="Times New Roman" w:hAnsi="Times New Roman" w:cs="Times New Roman"/>
          <w:sz w:val="24"/>
          <w:szCs w:val="24"/>
        </w:rPr>
        <w:t xml:space="preserve">between higher education and VET.  </w:t>
      </w:r>
      <w:r w:rsidR="00625351">
        <w:rPr>
          <w:rFonts w:ascii="Times New Roman" w:hAnsi="Times New Roman" w:cs="Times New Roman"/>
          <w:b/>
          <w:sz w:val="24"/>
          <w:szCs w:val="24"/>
        </w:rPr>
        <w:t xml:space="preserve"> </w:t>
      </w:r>
    </w:p>
    <w:p w:rsidR="004F2602" w:rsidRDefault="007945BD" w:rsidP="00D76273">
      <w:pPr>
        <w:spacing w:line="360" w:lineRule="auto"/>
        <w:rPr>
          <w:rFonts w:ascii="Times New Roman" w:hAnsi="Times New Roman" w:cs="Times New Roman"/>
          <w:sz w:val="24"/>
          <w:szCs w:val="24"/>
        </w:rPr>
      </w:pPr>
      <w:r>
        <w:rPr>
          <w:rFonts w:ascii="Times New Roman" w:hAnsi="Times New Roman" w:cs="Times New Roman"/>
          <w:sz w:val="24"/>
          <w:szCs w:val="24"/>
        </w:rPr>
        <w:t>The AQF</w:t>
      </w:r>
      <w:r w:rsidR="00402B6A">
        <w:rPr>
          <w:rFonts w:ascii="Times New Roman" w:hAnsi="Times New Roman" w:cs="Times New Roman"/>
          <w:sz w:val="24"/>
          <w:szCs w:val="24"/>
        </w:rPr>
        <w:t xml:space="preserve"> was first introduced in 1995 to underpin the national system of qualifications in Australia which encompass higher education, vocational education and training, and schools. </w:t>
      </w:r>
      <w:r w:rsidR="00E30DB7" w:rsidRPr="005F16D1">
        <w:rPr>
          <w:rFonts w:ascii="Times New Roman" w:eastAsia="Times New Roman" w:hAnsi="Times New Roman" w:cs="Times New Roman"/>
          <w:color w:val="667986"/>
          <w:sz w:val="24"/>
          <w:szCs w:val="24"/>
          <w:lang w:val="en-US"/>
        </w:rPr>
        <w:t xml:space="preserve"> </w:t>
      </w:r>
      <w:r>
        <w:rPr>
          <w:rFonts w:ascii="Times New Roman" w:hAnsi="Times New Roman" w:cs="Times New Roman"/>
          <w:sz w:val="24"/>
          <w:szCs w:val="24"/>
        </w:rPr>
        <w:t xml:space="preserve">It </w:t>
      </w:r>
      <w:r w:rsidR="00E30DB7" w:rsidRPr="00B6620A">
        <w:rPr>
          <w:rFonts w:ascii="Times New Roman" w:hAnsi="Times New Roman" w:cs="Times New Roman"/>
          <w:sz w:val="24"/>
          <w:szCs w:val="24"/>
        </w:rPr>
        <w:t xml:space="preserve">covers </w:t>
      </w:r>
      <w:r w:rsidR="005F16D1">
        <w:rPr>
          <w:rFonts w:ascii="Times New Roman" w:hAnsi="Times New Roman" w:cs="Times New Roman"/>
          <w:sz w:val="24"/>
          <w:szCs w:val="24"/>
        </w:rPr>
        <w:t>each education and training sector, including vocational education and training (VET) and higher education.   It provides the standards for Au</w:t>
      </w:r>
      <w:r w:rsidR="00A92A0D">
        <w:rPr>
          <w:rFonts w:ascii="Times New Roman" w:hAnsi="Times New Roman" w:cs="Times New Roman"/>
          <w:sz w:val="24"/>
          <w:szCs w:val="24"/>
        </w:rPr>
        <w:t xml:space="preserve">stralian qualifications, and is </w:t>
      </w:r>
      <w:r w:rsidR="005F16D1">
        <w:rPr>
          <w:rFonts w:ascii="Times New Roman" w:hAnsi="Times New Roman" w:cs="Times New Roman"/>
          <w:sz w:val="24"/>
          <w:szCs w:val="24"/>
        </w:rPr>
        <w:t>an integrated policy</w:t>
      </w:r>
      <w:r w:rsidR="00A92A0D">
        <w:rPr>
          <w:rFonts w:ascii="Times New Roman" w:hAnsi="Times New Roman" w:cs="Times New Roman"/>
          <w:sz w:val="24"/>
          <w:szCs w:val="24"/>
        </w:rPr>
        <w:t>, now a set of standards,</w:t>
      </w:r>
      <w:r w:rsidR="005F16D1">
        <w:rPr>
          <w:rFonts w:ascii="Times New Roman" w:hAnsi="Times New Roman" w:cs="Times New Roman"/>
          <w:sz w:val="24"/>
          <w:szCs w:val="24"/>
        </w:rPr>
        <w:t xml:space="preserve"> comprising matters such as the learning outcomes for each AQF level and qualification type, the specifications for the application of the AQF in the accreditation and development of qualifications, the policy requirements for issuing AQF qualifications and for linkages and pathways.</w:t>
      </w:r>
      <w:r w:rsidR="004F2602">
        <w:rPr>
          <w:rFonts w:ascii="Times New Roman" w:hAnsi="Times New Roman" w:cs="Times New Roman"/>
          <w:sz w:val="24"/>
          <w:szCs w:val="24"/>
        </w:rPr>
        <w:t xml:space="preserve">   </w:t>
      </w:r>
      <w:r w:rsidR="0036339D">
        <w:rPr>
          <w:rFonts w:ascii="Times New Roman" w:hAnsi="Times New Roman" w:cs="Times New Roman"/>
          <w:sz w:val="24"/>
          <w:szCs w:val="24"/>
        </w:rPr>
        <w:t>A</w:t>
      </w:r>
      <w:r w:rsidR="00FB2198">
        <w:rPr>
          <w:rFonts w:ascii="Times New Roman" w:hAnsi="Times New Roman" w:cs="Times New Roman"/>
          <w:sz w:val="24"/>
          <w:szCs w:val="24"/>
        </w:rPr>
        <w:t xml:space="preserve">t the time of writing </w:t>
      </w:r>
      <w:r w:rsidR="0036339D">
        <w:rPr>
          <w:rFonts w:ascii="Times New Roman" w:hAnsi="Times New Roman" w:cs="Times New Roman"/>
          <w:sz w:val="24"/>
          <w:szCs w:val="24"/>
        </w:rPr>
        <w:t xml:space="preserve">the AQF is </w:t>
      </w:r>
      <w:r w:rsidR="00FB2198">
        <w:rPr>
          <w:rFonts w:ascii="Times New Roman" w:hAnsi="Times New Roman" w:cs="Times New Roman"/>
          <w:sz w:val="24"/>
          <w:szCs w:val="24"/>
        </w:rPr>
        <w:t>still releasing its standards, for example it recently called for submissions on proposed changes to graduate certificates and diplomas</w:t>
      </w:r>
      <w:r w:rsidR="0094158E">
        <w:rPr>
          <w:rFonts w:ascii="Times New Roman" w:hAnsi="Times New Roman" w:cs="Times New Roman"/>
          <w:sz w:val="24"/>
          <w:szCs w:val="24"/>
        </w:rPr>
        <w:t>.  Discussion in the sector indicates that these proposals will be universally rejected by universities.</w:t>
      </w:r>
    </w:p>
    <w:p w:rsidR="00B551FF" w:rsidRDefault="00390850" w:rsidP="00B551FF">
      <w:pPr>
        <w:spacing w:line="360" w:lineRule="auto"/>
        <w:rPr>
          <w:rFonts w:ascii="Times New Roman" w:hAnsi="Times New Roman" w:cs="Times New Roman"/>
          <w:sz w:val="24"/>
          <w:szCs w:val="24"/>
        </w:rPr>
      </w:pPr>
      <w:r>
        <w:rPr>
          <w:rFonts w:ascii="Times New Roman" w:hAnsi="Times New Roman" w:cs="Times New Roman"/>
          <w:sz w:val="24"/>
          <w:szCs w:val="24"/>
        </w:rPr>
        <w:t>A central feature of government policy is the aim of much greater participation in higher education, obviously an aim with considerable funding implications.</w:t>
      </w:r>
    </w:p>
    <w:p w:rsidR="005D29B2" w:rsidRPr="00B551FF" w:rsidRDefault="00B551FF" w:rsidP="00B551FF">
      <w:pPr>
        <w:spacing w:line="360" w:lineRule="auto"/>
        <w:rPr>
          <w:rFonts w:ascii="Times New Roman" w:hAnsi="Times New Roman" w:cs="Times New Roman"/>
          <w:sz w:val="24"/>
          <w:szCs w:val="24"/>
        </w:rPr>
      </w:pPr>
      <w:r>
        <w:rPr>
          <w:rFonts w:ascii="Times New Roman" w:hAnsi="Times New Roman" w:cs="Times New Roman"/>
          <w:b/>
          <w:sz w:val="24"/>
          <w:szCs w:val="24"/>
        </w:rPr>
        <w:t xml:space="preserve">Funding Issues: </w:t>
      </w:r>
      <w:r w:rsidR="000E0E74" w:rsidRPr="00B551FF">
        <w:rPr>
          <w:rFonts w:ascii="Times New Roman" w:hAnsi="Times New Roman" w:cs="Times New Roman"/>
          <w:b/>
          <w:sz w:val="24"/>
          <w:szCs w:val="24"/>
        </w:rPr>
        <w:t xml:space="preserve"> </w:t>
      </w:r>
      <w:r w:rsidR="005D29B2" w:rsidRPr="00B551FF">
        <w:rPr>
          <w:rFonts w:ascii="Times New Roman" w:hAnsi="Times New Roman" w:cs="Times New Roman"/>
          <w:b/>
          <w:sz w:val="24"/>
          <w:szCs w:val="24"/>
        </w:rPr>
        <w:t>Demand-Driven Education</w:t>
      </w:r>
      <w:r w:rsidR="00AD27A2" w:rsidRPr="00B551FF">
        <w:rPr>
          <w:rFonts w:ascii="Times New Roman" w:hAnsi="Times New Roman" w:cs="Times New Roman"/>
          <w:b/>
          <w:sz w:val="24"/>
          <w:szCs w:val="24"/>
        </w:rPr>
        <w:t xml:space="preserve"> and Widening Participation</w:t>
      </w:r>
      <w:r w:rsidR="000E0E74" w:rsidRPr="00B551FF">
        <w:rPr>
          <w:rFonts w:ascii="Times New Roman" w:hAnsi="Times New Roman" w:cs="Times New Roman"/>
          <w:b/>
          <w:sz w:val="24"/>
          <w:szCs w:val="24"/>
        </w:rPr>
        <w:t xml:space="preserve"> </w:t>
      </w:r>
      <w:r w:rsidR="00AF4D6D" w:rsidRPr="00B551FF">
        <w:rPr>
          <w:rFonts w:ascii="Times New Roman" w:hAnsi="Times New Roman" w:cs="Times New Roman"/>
          <w:b/>
          <w:sz w:val="24"/>
          <w:szCs w:val="24"/>
        </w:rPr>
        <w:t xml:space="preserve"> </w:t>
      </w:r>
    </w:p>
    <w:p w:rsidR="005D29B2" w:rsidRDefault="009B3EB1" w:rsidP="00390850">
      <w:pPr>
        <w:spacing w:line="360" w:lineRule="auto"/>
        <w:rPr>
          <w:rFonts w:ascii="Times New Roman" w:hAnsi="Times New Roman" w:cs="Times New Roman"/>
          <w:sz w:val="24"/>
          <w:szCs w:val="24"/>
        </w:rPr>
      </w:pPr>
      <w:r>
        <w:rPr>
          <w:rFonts w:ascii="Times New Roman" w:hAnsi="Times New Roman" w:cs="Times New Roman"/>
          <w:sz w:val="24"/>
          <w:szCs w:val="24"/>
        </w:rPr>
        <w:t>T</w:t>
      </w:r>
      <w:r w:rsidR="005D29B2">
        <w:rPr>
          <w:rFonts w:ascii="Times New Roman" w:hAnsi="Times New Roman" w:cs="Times New Roman"/>
          <w:sz w:val="24"/>
          <w:szCs w:val="24"/>
        </w:rPr>
        <w:t xml:space="preserve">he funding of higher education </w:t>
      </w:r>
      <w:r w:rsidR="0036339D">
        <w:rPr>
          <w:rFonts w:ascii="Times New Roman" w:hAnsi="Times New Roman" w:cs="Times New Roman"/>
          <w:sz w:val="24"/>
          <w:szCs w:val="24"/>
        </w:rPr>
        <w:t xml:space="preserve">had, in 2003, </w:t>
      </w:r>
      <w:r w:rsidR="005D29B2">
        <w:rPr>
          <w:rFonts w:ascii="Times New Roman" w:hAnsi="Times New Roman" w:cs="Times New Roman"/>
          <w:sz w:val="24"/>
          <w:szCs w:val="24"/>
        </w:rPr>
        <w:t xml:space="preserve">changed dramatically </w:t>
      </w:r>
      <w:r w:rsidR="005D29B2" w:rsidRPr="005D29B2">
        <w:rPr>
          <w:rFonts w:ascii="Times New Roman" w:hAnsi="Times New Roman" w:cs="Times New Roman"/>
          <w:sz w:val="24"/>
          <w:szCs w:val="24"/>
        </w:rPr>
        <w:t>with the introduction of the (CTH)</w:t>
      </w:r>
      <w:r w:rsidR="005D29B2" w:rsidRPr="005D29B2">
        <w:rPr>
          <w:rFonts w:ascii="Times New Roman" w:hAnsi="Times New Roman" w:cs="Times New Roman"/>
          <w:i/>
          <w:sz w:val="24"/>
          <w:szCs w:val="24"/>
        </w:rPr>
        <w:t xml:space="preserve"> Higher Education Support Act 2003</w:t>
      </w:r>
      <w:r w:rsidR="0036339D">
        <w:rPr>
          <w:rFonts w:ascii="Times New Roman" w:hAnsi="Times New Roman" w:cs="Times New Roman"/>
          <w:i/>
          <w:sz w:val="24"/>
          <w:szCs w:val="24"/>
        </w:rPr>
        <w:t>.</w:t>
      </w:r>
      <w:r w:rsidR="00F50393">
        <w:rPr>
          <w:rStyle w:val="FootnoteReference"/>
          <w:i/>
          <w:sz w:val="24"/>
          <w:szCs w:val="24"/>
        </w:rPr>
        <w:footnoteReference w:id="56"/>
      </w:r>
      <w:r w:rsidR="0036339D">
        <w:rPr>
          <w:rFonts w:ascii="Times New Roman" w:hAnsi="Times New Roman" w:cs="Times New Roman"/>
          <w:i/>
          <w:sz w:val="24"/>
          <w:szCs w:val="24"/>
        </w:rPr>
        <w:t xml:space="preserve"> </w:t>
      </w:r>
      <w:r w:rsidR="0036339D">
        <w:rPr>
          <w:rFonts w:ascii="Times New Roman" w:hAnsi="Times New Roman" w:cs="Times New Roman"/>
          <w:sz w:val="24"/>
          <w:szCs w:val="24"/>
        </w:rPr>
        <w:t>This Act</w:t>
      </w:r>
      <w:r w:rsidR="005D29B2" w:rsidRPr="005D29B2">
        <w:rPr>
          <w:rFonts w:ascii="Times New Roman" w:hAnsi="Times New Roman" w:cs="Times New Roman"/>
          <w:sz w:val="24"/>
          <w:szCs w:val="24"/>
        </w:rPr>
        <w:t xml:space="preserve"> provides for the Commonwealth to give financial support for higher education and certain vocational education and training through grants and other payments made to higher education providers, such as universities.</w:t>
      </w:r>
      <w:r w:rsidR="005D29B2">
        <w:rPr>
          <w:rStyle w:val="FootnoteReference"/>
          <w:sz w:val="24"/>
          <w:szCs w:val="24"/>
        </w:rPr>
        <w:footnoteReference w:id="57"/>
      </w:r>
      <w:r w:rsidR="00390850">
        <w:rPr>
          <w:rFonts w:ascii="Times New Roman" w:hAnsi="Times New Roman" w:cs="Times New Roman"/>
          <w:sz w:val="24"/>
          <w:szCs w:val="24"/>
        </w:rPr>
        <w:t xml:space="preserve"> </w:t>
      </w:r>
      <w:r w:rsidR="005D29B2" w:rsidRPr="00B6620A">
        <w:rPr>
          <w:rFonts w:ascii="Times New Roman" w:hAnsi="Times New Roman" w:cs="Times New Roman"/>
          <w:sz w:val="24"/>
          <w:szCs w:val="24"/>
        </w:rPr>
        <w:t xml:space="preserve">The </w:t>
      </w:r>
      <w:r w:rsidR="0036339D">
        <w:rPr>
          <w:rFonts w:ascii="Times New Roman" w:hAnsi="Times New Roman" w:cs="Times New Roman"/>
          <w:sz w:val="24"/>
          <w:szCs w:val="24"/>
        </w:rPr>
        <w:t xml:space="preserve">Act </w:t>
      </w:r>
      <w:r w:rsidR="005D29B2" w:rsidRPr="00B6620A">
        <w:rPr>
          <w:rFonts w:ascii="Times New Roman" w:hAnsi="Times New Roman" w:cs="Times New Roman"/>
          <w:sz w:val="24"/>
          <w:szCs w:val="24"/>
        </w:rPr>
        <w:t>also provides f</w:t>
      </w:r>
      <w:r w:rsidR="00390850">
        <w:rPr>
          <w:rFonts w:ascii="Times New Roman" w:hAnsi="Times New Roman" w:cs="Times New Roman"/>
          <w:sz w:val="24"/>
          <w:szCs w:val="24"/>
        </w:rPr>
        <w:t>inancial assistance to students.</w:t>
      </w:r>
      <w:r w:rsidR="00390850">
        <w:rPr>
          <w:rStyle w:val="FootnoteReference"/>
          <w:sz w:val="24"/>
          <w:szCs w:val="24"/>
        </w:rPr>
        <w:footnoteReference w:id="58"/>
      </w:r>
    </w:p>
    <w:p w:rsidR="005D29B2" w:rsidRPr="005003BE" w:rsidRDefault="00FB3947" w:rsidP="002E281B">
      <w:pPr>
        <w:spacing w:line="360" w:lineRule="auto"/>
        <w:rPr>
          <w:rFonts w:ascii="Times New Roman" w:hAnsi="Times New Roman" w:cs="Times New Roman"/>
          <w:sz w:val="24"/>
          <w:szCs w:val="24"/>
        </w:rPr>
      </w:pPr>
      <w:r>
        <w:rPr>
          <w:rFonts w:ascii="Times New Roman" w:hAnsi="Times New Roman" w:cs="Times New Roman"/>
          <w:sz w:val="24"/>
          <w:szCs w:val="24"/>
        </w:rPr>
        <w:t>T</w:t>
      </w:r>
      <w:r w:rsidR="0036339D">
        <w:rPr>
          <w:rFonts w:ascii="Times New Roman" w:hAnsi="Times New Roman" w:cs="Times New Roman"/>
          <w:sz w:val="24"/>
          <w:szCs w:val="24"/>
        </w:rPr>
        <w:t>he Commonwealth-</w:t>
      </w:r>
      <w:r w:rsidR="005D29B2" w:rsidRPr="005003BE">
        <w:rPr>
          <w:rFonts w:ascii="Times New Roman" w:hAnsi="Times New Roman" w:cs="Times New Roman"/>
          <w:sz w:val="24"/>
          <w:szCs w:val="24"/>
        </w:rPr>
        <w:t>provided funding grants are payable to any eligible higher education provider under the Commonwealth Grant Scheme</w:t>
      </w:r>
      <w:r w:rsidR="0036339D">
        <w:rPr>
          <w:rFonts w:ascii="Times New Roman" w:hAnsi="Times New Roman" w:cs="Times New Roman"/>
          <w:sz w:val="24"/>
          <w:szCs w:val="24"/>
        </w:rPr>
        <w:t xml:space="preserve"> </w:t>
      </w:r>
      <w:r w:rsidR="00390850">
        <w:rPr>
          <w:rFonts w:ascii="Times New Roman" w:hAnsi="Times New Roman" w:cs="Times New Roman"/>
          <w:sz w:val="24"/>
          <w:szCs w:val="24"/>
        </w:rPr>
        <w:t xml:space="preserve">on the basis of </w:t>
      </w:r>
      <w:r w:rsidR="0036339D" w:rsidRPr="005003BE">
        <w:rPr>
          <w:rFonts w:ascii="Times New Roman" w:hAnsi="Times New Roman" w:cs="Times New Roman"/>
          <w:sz w:val="24"/>
          <w:szCs w:val="24"/>
        </w:rPr>
        <w:t>student places.</w:t>
      </w:r>
      <w:r w:rsidR="0036339D" w:rsidRPr="005003BE">
        <w:rPr>
          <w:rStyle w:val="FootnoteReference"/>
          <w:sz w:val="24"/>
          <w:szCs w:val="24"/>
        </w:rPr>
        <w:footnoteReference w:id="59"/>
      </w:r>
      <w:r w:rsidR="005D29B2" w:rsidRPr="005003BE">
        <w:rPr>
          <w:rFonts w:ascii="Times New Roman" w:hAnsi="Times New Roman" w:cs="Times New Roman"/>
          <w:sz w:val="24"/>
          <w:szCs w:val="24"/>
        </w:rPr>
        <w:t xml:space="preserve">  The Guidelines under that</w:t>
      </w:r>
      <w:r w:rsidR="0036339D">
        <w:rPr>
          <w:rFonts w:ascii="Times New Roman" w:hAnsi="Times New Roman" w:cs="Times New Roman"/>
          <w:sz w:val="24"/>
          <w:szCs w:val="24"/>
        </w:rPr>
        <w:t xml:space="preserve"> scheme w</w:t>
      </w:r>
      <w:r w:rsidR="005D29B2" w:rsidRPr="005003BE">
        <w:rPr>
          <w:rFonts w:ascii="Times New Roman" w:hAnsi="Times New Roman" w:cs="Times New Roman"/>
          <w:sz w:val="24"/>
          <w:szCs w:val="24"/>
        </w:rPr>
        <w:t xml:space="preserve">ere determined according to the Minister’s allocation of Commonwealth supported places for the year of the grant.  </w:t>
      </w:r>
      <w:r>
        <w:rPr>
          <w:rFonts w:ascii="Times New Roman" w:hAnsi="Times New Roman" w:cs="Times New Roman"/>
          <w:sz w:val="24"/>
          <w:szCs w:val="24"/>
        </w:rPr>
        <w:t>Historically, t</w:t>
      </w:r>
      <w:r w:rsidR="005D29B2" w:rsidRPr="005003BE">
        <w:rPr>
          <w:rFonts w:ascii="Times New Roman" w:hAnsi="Times New Roman" w:cs="Times New Roman"/>
          <w:sz w:val="24"/>
          <w:szCs w:val="24"/>
        </w:rPr>
        <w:t xml:space="preserve">he amount granted to the </w:t>
      </w:r>
      <w:r w:rsidR="0036339D">
        <w:rPr>
          <w:rFonts w:ascii="Times New Roman" w:hAnsi="Times New Roman" w:cs="Times New Roman"/>
          <w:sz w:val="24"/>
          <w:szCs w:val="24"/>
        </w:rPr>
        <w:t>Higher Education Provider (</w:t>
      </w:r>
      <w:r w:rsidR="005D29B2" w:rsidRPr="005003BE">
        <w:rPr>
          <w:rFonts w:ascii="Times New Roman" w:hAnsi="Times New Roman" w:cs="Times New Roman"/>
          <w:sz w:val="24"/>
          <w:szCs w:val="24"/>
        </w:rPr>
        <w:t>HEP</w:t>
      </w:r>
      <w:r w:rsidR="0036339D">
        <w:rPr>
          <w:rFonts w:ascii="Times New Roman" w:hAnsi="Times New Roman" w:cs="Times New Roman"/>
          <w:sz w:val="24"/>
          <w:szCs w:val="24"/>
        </w:rPr>
        <w:t>)</w:t>
      </w:r>
      <w:r w:rsidR="005D29B2" w:rsidRPr="005003BE">
        <w:rPr>
          <w:rFonts w:ascii="Times New Roman" w:hAnsi="Times New Roman" w:cs="Times New Roman"/>
          <w:sz w:val="24"/>
          <w:szCs w:val="24"/>
        </w:rPr>
        <w:t xml:space="preserve"> was determined by the number of Commonwealth supported places that the Minister allocated and the Commonwealth contribution amount for each such place. The Commonwealth government agreed to provide a certain number of Commonwealth supported places in a funding agreement with the HEP.</w:t>
      </w:r>
    </w:p>
    <w:p w:rsidR="005D29B2" w:rsidRPr="005003BE" w:rsidRDefault="005D29B2" w:rsidP="002E281B">
      <w:pPr>
        <w:spacing w:before="120" w:line="360" w:lineRule="auto"/>
        <w:rPr>
          <w:rFonts w:ascii="Times New Roman" w:hAnsi="Times New Roman" w:cs="Times New Roman"/>
          <w:sz w:val="24"/>
          <w:szCs w:val="24"/>
        </w:rPr>
      </w:pPr>
      <w:r w:rsidRPr="005003BE">
        <w:rPr>
          <w:rFonts w:ascii="Times New Roman" w:hAnsi="Times New Roman" w:cs="Times New Roman"/>
          <w:sz w:val="24"/>
          <w:szCs w:val="24"/>
        </w:rPr>
        <w:t>Annually, the Minister and the HEP negotiated the number of places and the discipline mix to be prov</w:t>
      </w:r>
      <w:r w:rsidR="00390850">
        <w:rPr>
          <w:rFonts w:ascii="Times New Roman" w:hAnsi="Times New Roman" w:cs="Times New Roman"/>
          <w:sz w:val="24"/>
          <w:szCs w:val="24"/>
        </w:rPr>
        <w:t>ided by the HEP. Disciplines were</w:t>
      </w:r>
      <w:r w:rsidRPr="005003BE">
        <w:rPr>
          <w:rFonts w:ascii="Times New Roman" w:hAnsi="Times New Roman" w:cs="Times New Roman"/>
          <w:sz w:val="24"/>
          <w:szCs w:val="24"/>
        </w:rPr>
        <w:t xml:space="preserve"> split into seven 'fu</w:t>
      </w:r>
      <w:r w:rsidR="00390850">
        <w:rPr>
          <w:rFonts w:ascii="Times New Roman" w:hAnsi="Times New Roman" w:cs="Times New Roman"/>
          <w:sz w:val="24"/>
          <w:szCs w:val="24"/>
        </w:rPr>
        <w:t>nding clusters', each of which wa</w:t>
      </w:r>
      <w:r w:rsidRPr="005003BE">
        <w:rPr>
          <w:rFonts w:ascii="Times New Roman" w:hAnsi="Times New Roman" w:cs="Times New Roman"/>
          <w:sz w:val="24"/>
          <w:szCs w:val="24"/>
        </w:rPr>
        <w:t>s allocated a specific Commonwealth contribution amount under the</w:t>
      </w:r>
      <w:r w:rsidR="0036339D">
        <w:rPr>
          <w:rFonts w:ascii="Times New Roman" w:hAnsi="Times New Roman" w:cs="Times New Roman"/>
          <w:i/>
          <w:sz w:val="24"/>
          <w:szCs w:val="24"/>
        </w:rPr>
        <w:t xml:space="preserve"> </w:t>
      </w:r>
      <w:r w:rsidR="0036339D">
        <w:rPr>
          <w:rFonts w:ascii="Times New Roman" w:hAnsi="Times New Roman" w:cs="Times New Roman"/>
          <w:sz w:val="24"/>
          <w:szCs w:val="24"/>
        </w:rPr>
        <w:t xml:space="preserve">(CTH) </w:t>
      </w:r>
      <w:r w:rsidR="0036339D">
        <w:rPr>
          <w:rFonts w:ascii="Times New Roman" w:hAnsi="Times New Roman" w:cs="Times New Roman"/>
          <w:i/>
          <w:sz w:val="24"/>
          <w:szCs w:val="24"/>
        </w:rPr>
        <w:t>Higher Education Support Act 2003</w:t>
      </w:r>
      <w:r w:rsidRPr="005003BE">
        <w:rPr>
          <w:rFonts w:ascii="Times New Roman" w:hAnsi="Times New Roman" w:cs="Times New Roman"/>
          <w:sz w:val="24"/>
          <w:szCs w:val="24"/>
        </w:rPr>
        <w:t>.</w:t>
      </w:r>
    </w:p>
    <w:p w:rsidR="005D29B2" w:rsidRPr="00B6620A" w:rsidRDefault="0036339D" w:rsidP="002E281B">
      <w:pPr>
        <w:spacing w:before="120"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rPr>
        <w:t>T</w:t>
      </w:r>
      <w:r w:rsidR="00904AC3">
        <w:rPr>
          <w:rFonts w:ascii="Times New Roman" w:eastAsia="Times New Roman" w:hAnsi="Times New Roman" w:cs="Times New Roman"/>
          <w:color w:val="000000"/>
          <w:sz w:val="24"/>
          <w:szCs w:val="24"/>
        </w:rPr>
        <w:t>he implementation of the Bradley Report</w:t>
      </w:r>
      <w:r w:rsidR="00FB3947">
        <w:rPr>
          <w:rFonts w:ascii="Times New Roman" w:eastAsia="Times New Roman" w:hAnsi="Times New Roman" w:cs="Times New Roman"/>
          <w:color w:val="000000"/>
          <w:sz w:val="24"/>
          <w:szCs w:val="24"/>
        </w:rPr>
        <w:t xml:space="preserve"> changes</w:t>
      </w:r>
      <w:r>
        <w:rPr>
          <w:rFonts w:ascii="Times New Roman" w:eastAsia="Times New Roman" w:hAnsi="Times New Roman" w:cs="Times New Roman"/>
          <w:color w:val="000000"/>
          <w:sz w:val="24"/>
          <w:szCs w:val="24"/>
        </w:rPr>
        <w:t xml:space="preserve"> this system. W</w:t>
      </w:r>
      <w:r w:rsidR="005D29B2" w:rsidRPr="00902974">
        <w:rPr>
          <w:rFonts w:ascii="Times New Roman" w:eastAsia="Times New Roman" w:hAnsi="Times New Roman" w:cs="Times New Roman"/>
          <w:color w:val="000000"/>
          <w:sz w:val="24"/>
          <w:szCs w:val="24"/>
        </w:rPr>
        <w:t>hile the functioning of the Commonwealth Grant Scheme remains basically the same, t</w:t>
      </w:r>
      <w:r w:rsidR="00904AC3">
        <w:rPr>
          <w:rFonts w:ascii="Times New Roman" w:eastAsia="Times New Roman" w:hAnsi="Times New Roman" w:cs="Times New Roman"/>
          <w:color w:val="000000"/>
          <w:sz w:val="24"/>
          <w:szCs w:val="24"/>
        </w:rPr>
        <w:t xml:space="preserve">he fundamental premise underlying the </w:t>
      </w:r>
      <w:r w:rsidR="005D29B2" w:rsidRPr="00902974">
        <w:rPr>
          <w:rFonts w:ascii="Times New Roman" w:eastAsia="Times New Roman" w:hAnsi="Times New Roman" w:cs="Times New Roman"/>
          <w:color w:val="000000"/>
          <w:sz w:val="24"/>
          <w:szCs w:val="24"/>
        </w:rPr>
        <w:t>funding provisions</w:t>
      </w:r>
      <w:r>
        <w:rPr>
          <w:rFonts w:ascii="Times New Roman" w:eastAsia="Times New Roman" w:hAnsi="Times New Roman" w:cs="Times New Roman"/>
          <w:color w:val="000000"/>
          <w:sz w:val="24"/>
          <w:szCs w:val="24"/>
        </w:rPr>
        <w:t xml:space="preserve"> for higher education providers is</w:t>
      </w:r>
      <w:r w:rsidR="005D29B2" w:rsidRPr="00902974">
        <w:rPr>
          <w:rFonts w:ascii="Times New Roman" w:eastAsia="Times New Roman" w:hAnsi="Times New Roman" w:cs="Times New Roman"/>
          <w:color w:val="000000"/>
          <w:sz w:val="24"/>
          <w:szCs w:val="24"/>
        </w:rPr>
        <w:t xml:space="preserve"> significantly</w:t>
      </w:r>
      <w:r>
        <w:rPr>
          <w:rFonts w:ascii="Times New Roman" w:eastAsia="Times New Roman" w:hAnsi="Times New Roman" w:cs="Times New Roman"/>
          <w:color w:val="000000"/>
          <w:sz w:val="24"/>
          <w:szCs w:val="24"/>
        </w:rPr>
        <w:t xml:space="preserve"> altered</w:t>
      </w:r>
      <w:r w:rsidR="005D29B2" w:rsidRPr="00902974">
        <w:rPr>
          <w:rFonts w:ascii="Times New Roman" w:eastAsia="Times New Roman" w:hAnsi="Times New Roman" w:cs="Times New Roman"/>
          <w:color w:val="000000"/>
          <w:sz w:val="24"/>
          <w:szCs w:val="24"/>
        </w:rPr>
        <w:t xml:space="preserve">.  </w:t>
      </w:r>
      <w:r w:rsidR="00C509BD">
        <w:rPr>
          <w:rFonts w:ascii="Times New Roman" w:eastAsia="Times New Roman" w:hAnsi="Times New Roman" w:cs="Times New Roman"/>
          <w:color w:val="000000"/>
          <w:sz w:val="24"/>
          <w:szCs w:val="24"/>
        </w:rPr>
        <w:t>T</w:t>
      </w:r>
      <w:r w:rsidR="00C509BD">
        <w:rPr>
          <w:rFonts w:ascii="Times New Roman" w:hAnsi="Times New Roman" w:cs="Times New Roman"/>
          <w:sz w:val="24"/>
          <w:szCs w:val="24"/>
        </w:rPr>
        <w:t>he</w:t>
      </w:r>
      <w:r w:rsidR="005D29B2" w:rsidRPr="00B6620A">
        <w:rPr>
          <w:rFonts w:ascii="Times New Roman" w:hAnsi="Times New Roman" w:cs="Times New Roman"/>
          <w:sz w:val="24"/>
          <w:szCs w:val="24"/>
        </w:rPr>
        <w:t xml:space="preserve"> (CTH) </w:t>
      </w:r>
      <w:r w:rsidR="005D29B2" w:rsidRPr="00B6620A">
        <w:rPr>
          <w:rFonts w:ascii="Times New Roman" w:hAnsi="Times New Roman" w:cs="Times New Roman"/>
          <w:i/>
          <w:sz w:val="24"/>
          <w:szCs w:val="24"/>
        </w:rPr>
        <w:t>Higher Education Support Amendment Act (Demand Driven Funding Syst</w:t>
      </w:r>
      <w:r w:rsidR="00C509BD">
        <w:rPr>
          <w:rFonts w:ascii="Times New Roman" w:hAnsi="Times New Roman" w:cs="Times New Roman"/>
          <w:i/>
          <w:sz w:val="24"/>
          <w:szCs w:val="24"/>
        </w:rPr>
        <w:t>em and other Measures) Act 2011</w:t>
      </w:r>
      <w:r w:rsidR="005D29B2" w:rsidRPr="00B6620A">
        <w:rPr>
          <w:rStyle w:val="FootnoteReference"/>
          <w:sz w:val="24"/>
          <w:szCs w:val="24"/>
        </w:rPr>
        <w:footnoteReference w:id="60"/>
      </w:r>
      <w:r w:rsidR="00C509BD">
        <w:rPr>
          <w:rFonts w:ascii="Times New Roman" w:hAnsi="Times New Roman" w:cs="Times New Roman"/>
          <w:sz w:val="24"/>
          <w:szCs w:val="24"/>
        </w:rPr>
        <w:t xml:space="preserve"> </w:t>
      </w:r>
      <w:r w:rsidR="005D29B2" w:rsidRPr="00B6620A">
        <w:rPr>
          <w:rFonts w:ascii="Times New Roman" w:hAnsi="Times New Roman" w:cs="Times New Roman"/>
          <w:sz w:val="24"/>
          <w:szCs w:val="24"/>
        </w:rPr>
        <w:t>introduced demand driven funding of undergraduate places at public universities</w:t>
      </w:r>
      <w:r w:rsidR="00C509BD">
        <w:rPr>
          <w:rFonts w:ascii="Times New Roman" w:hAnsi="Times New Roman" w:cs="Times New Roman"/>
          <w:sz w:val="24"/>
          <w:szCs w:val="24"/>
        </w:rPr>
        <w:t xml:space="preserve"> with effect from </w:t>
      </w:r>
      <w:r w:rsidR="00C509BD" w:rsidRPr="00B6620A">
        <w:rPr>
          <w:rFonts w:ascii="Times New Roman" w:hAnsi="Times New Roman" w:cs="Times New Roman"/>
          <w:sz w:val="24"/>
          <w:szCs w:val="24"/>
        </w:rPr>
        <w:t>1 January 2012</w:t>
      </w:r>
      <w:r w:rsidR="00C509BD">
        <w:rPr>
          <w:rFonts w:ascii="Times New Roman" w:hAnsi="Times New Roman" w:cs="Times New Roman"/>
          <w:sz w:val="24"/>
          <w:szCs w:val="24"/>
        </w:rPr>
        <w:t xml:space="preserve">.  </w:t>
      </w:r>
    </w:p>
    <w:p w:rsidR="00AF4D6D" w:rsidRPr="00AF4D6D" w:rsidRDefault="00CF098E" w:rsidP="002E281B">
      <w:pPr>
        <w:spacing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rPr>
        <w:t>R</w:t>
      </w:r>
      <w:r w:rsidR="005D29B2" w:rsidRPr="00902974">
        <w:rPr>
          <w:rFonts w:ascii="Times New Roman" w:eastAsia="Times New Roman" w:hAnsi="Times New Roman" w:cs="Times New Roman"/>
          <w:color w:val="000000"/>
          <w:sz w:val="24"/>
          <w:szCs w:val="24"/>
        </w:rPr>
        <w:t>ather than there being</w:t>
      </w:r>
      <w:r w:rsidR="005D29B2" w:rsidRPr="00386920">
        <w:rPr>
          <w:rFonts w:ascii="Times New Roman" w:eastAsia="Times New Roman" w:hAnsi="Times New Roman" w:cs="Times New Roman"/>
          <w:color w:val="000000"/>
          <w:sz w:val="24"/>
          <w:szCs w:val="24"/>
        </w:rPr>
        <w:t xml:space="preserve"> an agreed number of Commonwealth supported places </w:t>
      </w:r>
      <w:r w:rsidR="005D29B2" w:rsidRPr="00902974">
        <w:rPr>
          <w:rFonts w:ascii="Times New Roman" w:eastAsia="Times New Roman" w:hAnsi="Times New Roman" w:cs="Times New Roman"/>
          <w:color w:val="000000"/>
          <w:sz w:val="24"/>
          <w:szCs w:val="24"/>
        </w:rPr>
        <w:t xml:space="preserve">in a given year, </w:t>
      </w:r>
      <w:r w:rsidR="005D29B2" w:rsidRPr="00386920">
        <w:rPr>
          <w:rFonts w:ascii="Times New Roman" w:eastAsia="Times New Roman" w:hAnsi="Times New Roman" w:cs="Times New Roman"/>
          <w:color w:val="000000"/>
          <w:sz w:val="24"/>
          <w:szCs w:val="24"/>
        </w:rPr>
        <w:t xml:space="preserve">determined by reference to the number of places in each </w:t>
      </w:r>
      <w:r w:rsidR="005D29B2" w:rsidRPr="00902974">
        <w:rPr>
          <w:rFonts w:ascii="Times New Roman" w:eastAsia="Times New Roman" w:hAnsi="Times New Roman" w:cs="Times New Roman"/>
          <w:color w:val="000000"/>
          <w:sz w:val="24"/>
          <w:szCs w:val="24"/>
        </w:rPr>
        <w:t xml:space="preserve">funding (or discipline) cluster, </w:t>
      </w:r>
      <w:r>
        <w:rPr>
          <w:rFonts w:ascii="Times New Roman" w:eastAsia="Times New Roman" w:hAnsi="Times New Roman" w:cs="Times New Roman"/>
          <w:color w:val="000000"/>
          <w:sz w:val="24"/>
          <w:szCs w:val="24"/>
        </w:rPr>
        <w:t xml:space="preserve">public universities are now able to </w:t>
      </w:r>
      <w:r w:rsidR="005D29B2" w:rsidRPr="00386920">
        <w:rPr>
          <w:rFonts w:ascii="Times New Roman" w:eastAsia="Times New Roman" w:hAnsi="Times New Roman" w:cs="Times New Roman"/>
          <w:color w:val="000000"/>
          <w:sz w:val="24"/>
          <w:szCs w:val="24"/>
        </w:rPr>
        <w:t xml:space="preserve">determine the number of students they enrol in bachelor level courses (excluding medicine) and will receive funding for these places. Universities </w:t>
      </w:r>
      <w:r w:rsidR="00FB3947">
        <w:rPr>
          <w:rFonts w:ascii="Times New Roman" w:eastAsia="Times New Roman" w:hAnsi="Times New Roman" w:cs="Times New Roman"/>
          <w:color w:val="000000"/>
          <w:sz w:val="24"/>
          <w:szCs w:val="24"/>
        </w:rPr>
        <w:t xml:space="preserve">are </w:t>
      </w:r>
      <w:r w:rsidR="005D29B2" w:rsidRPr="00386920">
        <w:rPr>
          <w:rFonts w:ascii="Times New Roman" w:eastAsia="Times New Roman" w:hAnsi="Times New Roman" w:cs="Times New Roman"/>
          <w:color w:val="000000"/>
          <w:sz w:val="24"/>
          <w:szCs w:val="24"/>
        </w:rPr>
        <w:t xml:space="preserve">able to increase the number of Commonwealth supported places they offer in particular disciplines in response </w:t>
      </w:r>
      <w:r w:rsidR="005D29B2">
        <w:rPr>
          <w:rFonts w:ascii="Times New Roman" w:eastAsia="Times New Roman" w:hAnsi="Times New Roman" w:cs="Times New Roman"/>
          <w:color w:val="000000"/>
          <w:sz w:val="24"/>
          <w:szCs w:val="24"/>
        </w:rPr>
        <w:t>to employe</w:t>
      </w:r>
      <w:r w:rsidR="005F16D1">
        <w:rPr>
          <w:rFonts w:ascii="Times New Roman" w:eastAsia="Times New Roman" w:hAnsi="Times New Roman" w:cs="Times New Roman"/>
          <w:color w:val="000000"/>
          <w:sz w:val="24"/>
          <w:szCs w:val="24"/>
        </w:rPr>
        <w:t>r and student demands.</w:t>
      </w:r>
      <w:r>
        <w:rPr>
          <w:rStyle w:val="FootnoteReference"/>
          <w:rFonts w:eastAsia="Times New Roman"/>
          <w:color w:val="000000"/>
          <w:sz w:val="24"/>
          <w:szCs w:val="24"/>
        </w:rPr>
        <w:footnoteReference w:id="61"/>
      </w:r>
      <w:r>
        <w:rPr>
          <w:rFonts w:ascii="Times New Roman" w:hAnsi="Times New Roman" w:cs="Times New Roman"/>
          <w:sz w:val="24"/>
          <w:szCs w:val="24"/>
        </w:rPr>
        <w:t xml:space="preserve"> </w:t>
      </w:r>
      <w:r w:rsidR="00125BEB">
        <w:rPr>
          <w:rFonts w:ascii="Times New Roman" w:hAnsi="Times New Roman" w:cs="Times New Roman"/>
          <w:sz w:val="24"/>
          <w:szCs w:val="24"/>
        </w:rPr>
        <w:t>These moves are of course, i</w:t>
      </w:r>
      <w:r w:rsidR="00AF4D6D">
        <w:rPr>
          <w:rFonts w:ascii="Times New Roman" w:hAnsi="Times New Roman" w:cs="Times New Roman"/>
          <w:sz w:val="24"/>
          <w:szCs w:val="24"/>
        </w:rPr>
        <w:t xml:space="preserve">n pursuance </w:t>
      </w:r>
      <w:r w:rsidR="00125BEB">
        <w:rPr>
          <w:rFonts w:ascii="Times New Roman" w:hAnsi="Times New Roman" w:cs="Times New Roman"/>
          <w:sz w:val="24"/>
          <w:szCs w:val="24"/>
        </w:rPr>
        <w:t xml:space="preserve">of the </w:t>
      </w:r>
      <w:r w:rsidR="002E281B">
        <w:rPr>
          <w:rFonts w:ascii="Times New Roman" w:hAnsi="Times New Roman" w:cs="Times New Roman"/>
          <w:sz w:val="24"/>
          <w:szCs w:val="24"/>
        </w:rPr>
        <w:t>demand-d</w:t>
      </w:r>
      <w:r w:rsidR="00125BEB">
        <w:rPr>
          <w:rFonts w:ascii="Times New Roman" w:hAnsi="Times New Roman" w:cs="Times New Roman"/>
          <w:sz w:val="24"/>
          <w:szCs w:val="24"/>
        </w:rPr>
        <w:t xml:space="preserve">riven education </w:t>
      </w:r>
      <w:r w:rsidR="002E281B">
        <w:rPr>
          <w:rFonts w:ascii="Times New Roman" w:hAnsi="Times New Roman" w:cs="Times New Roman"/>
          <w:sz w:val="24"/>
          <w:szCs w:val="24"/>
        </w:rPr>
        <w:t>and widening p</w:t>
      </w:r>
      <w:r w:rsidR="00125BEB">
        <w:rPr>
          <w:rFonts w:ascii="Times New Roman" w:hAnsi="Times New Roman" w:cs="Times New Roman"/>
          <w:sz w:val="24"/>
          <w:szCs w:val="24"/>
        </w:rPr>
        <w:t xml:space="preserve">articipation recommendations </w:t>
      </w:r>
      <w:r w:rsidR="00AF4D6D">
        <w:rPr>
          <w:rFonts w:ascii="Times New Roman" w:hAnsi="Times New Roman" w:cs="Times New Roman"/>
          <w:sz w:val="24"/>
          <w:szCs w:val="24"/>
        </w:rPr>
        <w:t>of the Bradley Review</w:t>
      </w:r>
      <w:r w:rsidR="00125BEB">
        <w:rPr>
          <w:rFonts w:ascii="Times New Roman" w:hAnsi="Times New Roman" w:cs="Times New Roman"/>
          <w:sz w:val="24"/>
          <w:szCs w:val="24"/>
        </w:rPr>
        <w:t>, and the government’s</w:t>
      </w:r>
      <w:r w:rsidR="00AF4D6D">
        <w:rPr>
          <w:rFonts w:ascii="Times New Roman" w:hAnsi="Times New Roman" w:cs="Times New Roman"/>
          <w:sz w:val="24"/>
          <w:szCs w:val="24"/>
        </w:rPr>
        <w:t xml:space="preserve"> ensuing target of 20 per</w:t>
      </w:r>
      <w:r w:rsidR="00390850">
        <w:rPr>
          <w:rFonts w:ascii="Times New Roman" w:hAnsi="Times New Roman" w:cs="Times New Roman"/>
          <w:sz w:val="24"/>
          <w:szCs w:val="24"/>
        </w:rPr>
        <w:t xml:space="preserve"> </w:t>
      </w:r>
      <w:r w:rsidR="00AF4D6D">
        <w:rPr>
          <w:rFonts w:ascii="Times New Roman" w:hAnsi="Times New Roman" w:cs="Times New Roman"/>
          <w:sz w:val="24"/>
          <w:szCs w:val="24"/>
        </w:rPr>
        <w:t>cent of higher education undergraduate enrolments from lowe</w:t>
      </w:r>
      <w:r w:rsidR="00390850">
        <w:rPr>
          <w:rFonts w:ascii="Times New Roman" w:hAnsi="Times New Roman" w:cs="Times New Roman"/>
          <w:sz w:val="24"/>
          <w:szCs w:val="24"/>
        </w:rPr>
        <w:t>r education backgrounds (SES).</w:t>
      </w:r>
      <w:r>
        <w:rPr>
          <w:rFonts w:ascii="Times New Roman" w:hAnsi="Times New Roman" w:cs="Times New Roman"/>
          <w:sz w:val="24"/>
          <w:szCs w:val="24"/>
        </w:rPr>
        <w:t xml:space="preserve"> </w:t>
      </w:r>
      <w:r w:rsidR="00390850">
        <w:rPr>
          <w:rFonts w:ascii="Times New Roman" w:hAnsi="Times New Roman" w:cs="Times New Roman"/>
          <w:sz w:val="24"/>
          <w:szCs w:val="24"/>
        </w:rPr>
        <w:t xml:space="preserve"> In tandem, </w:t>
      </w:r>
      <w:r>
        <w:rPr>
          <w:rFonts w:ascii="Times New Roman" w:hAnsi="Times New Roman" w:cs="Times New Roman"/>
          <w:sz w:val="24"/>
          <w:szCs w:val="24"/>
        </w:rPr>
        <w:t xml:space="preserve">the </w:t>
      </w:r>
      <w:r w:rsidR="00AF4D6D">
        <w:rPr>
          <w:rFonts w:ascii="Times New Roman" w:hAnsi="Times New Roman" w:cs="Times New Roman"/>
          <w:sz w:val="24"/>
          <w:szCs w:val="24"/>
        </w:rPr>
        <w:t>government introduced a suite of measures aimed at better student support.  These were largely in terms of raising the means level of pa</w:t>
      </w:r>
      <w:r w:rsidR="002E281B">
        <w:rPr>
          <w:rFonts w:ascii="Times New Roman" w:hAnsi="Times New Roman" w:cs="Times New Roman"/>
          <w:sz w:val="24"/>
          <w:szCs w:val="24"/>
        </w:rPr>
        <w:t>rental income lowering the age of independence of students, in order to qualif</w:t>
      </w:r>
      <w:r w:rsidR="00AF4D6D">
        <w:rPr>
          <w:rFonts w:ascii="Times New Roman" w:hAnsi="Times New Roman" w:cs="Times New Roman"/>
          <w:sz w:val="24"/>
          <w:szCs w:val="24"/>
        </w:rPr>
        <w:t>y</w:t>
      </w:r>
      <w:r w:rsidR="002E281B">
        <w:rPr>
          <w:rFonts w:ascii="Times New Roman" w:hAnsi="Times New Roman" w:cs="Times New Roman"/>
          <w:sz w:val="24"/>
          <w:szCs w:val="24"/>
        </w:rPr>
        <w:t xml:space="preserve"> for Youth Allowance or ABSTUDY.</w:t>
      </w:r>
      <w:r w:rsidR="00AF4D6D">
        <w:rPr>
          <w:rFonts w:ascii="Times New Roman" w:hAnsi="Times New Roman" w:cs="Times New Roman"/>
          <w:sz w:val="24"/>
          <w:szCs w:val="24"/>
        </w:rPr>
        <w:t xml:space="preserve">   </w:t>
      </w:r>
    </w:p>
    <w:p w:rsidR="00AF4D6D" w:rsidRDefault="00390850" w:rsidP="002E281B">
      <w:pPr>
        <w:pStyle w:val="shortt"/>
        <w:spacing w:line="360" w:lineRule="auto"/>
      </w:pPr>
      <w:r>
        <w:rPr>
          <w:rFonts w:eastAsiaTheme="minorEastAsia"/>
        </w:rPr>
        <w:t xml:space="preserve">A </w:t>
      </w:r>
      <w:r w:rsidR="00AF4D6D">
        <w:rPr>
          <w:rFonts w:eastAsiaTheme="minorEastAsia"/>
        </w:rPr>
        <w:t>growing sector with greater numbe</w:t>
      </w:r>
      <w:r>
        <w:rPr>
          <w:rFonts w:eastAsiaTheme="minorEastAsia"/>
        </w:rPr>
        <w:t xml:space="preserve">rs and more diverse students </w:t>
      </w:r>
      <w:r w:rsidR="00164DEA">
        <w:rPr>
          <w:rFonts w:eastAsiaTheme="minorEastAsia"/>
        </w:rPr>
        <w:t>necessarily require</w:t>
      </w:r>
      <w:r>
        <w:rPr>
          <w:rFonts w:eastAsiaTheme="minorEastAsia"/>
        </w:rPr>
        <w:t>s</w:t>
      </w:r>
      <w:r w:rsidR="00AF4D6D">
        <w:rPr>
          <w:rFonts w:eastAsiaTheme="minorEastAsia"/>
        </w:rPr>
        <w:t xml:space="preserve"> a wider range of services, health, social and cultural.</w:t>
      </w:r>
      <w:r w:rsidR="00AF4D6D" w:rsidRPr="00AF4D6D">
        <w:t xml:space="preserve"> By the (CTH) </w:t>
      </w:r>
      <w:r w:rsidR="00AF4D6D" w:rsidRPr="00AF4D6D">
        <w:rPr>
          <w:i/>
        </w:rPr>
        <w:t xml:space="preserve">Higher Education Legislation Amendment (Student Services and Amenities) Act 2011 </w:t>
      </w:r>
      <w:r w:rsidR="00AF4D6D" w:rsidRPr="00AF4D6D">
        <w:t>the Commonwealth Government reintroduced a student services and amenities fee</w:t>
      </w:r>
      <w:r w:rsidR="0067455C">
        <w:t>.</w:t>
      </w:r>
      <w:r w:rsidR="00AF4D6D">
        <w:rPr>
          <w:rStyle w:val="FootnoteReference"/>
        </w:rPr>
        <w:footnoteReference w:id="62"/>
      </w:r>
      <w:r w:rsidR="00AF4D6D" w:rsidRPr="00AF4D6D">
        <w:t xml:space="preserve"> </w:t>
      </w:r>
      <w:r w:rsidR="0067455C">
        <w:t>Universities and other higher education providers are now able to charge a compulsory union fee in order to assist them in the provision of these services.</w:t>
      </w:r>
      <w:r w:rsidR="0067455C">
        <w:rPr>
          <w:rStyle w:val="FootnoteReference"/>
        </w:rPr>
        <w:footnoteReference w:id="63"/>
      </w:r>
      <w:r w:rsidR="00AF4D6D" w:rsidRPr="00AF4D6D">
        <w:t xml:space="preserve"> </w:t>
      </w:r>
    </w:p>
    <w:p w:rsidR="000E0E74" w:rsidRDefault="00C231EB" w:rsidP="002E281B">
      <w:pPr>
        <w:pStyle w:val="shortt"/>
        <w:spacing w:line="360" w:lineRule="auto"/>
      </w:pPr>
      <w:r>
        <w:t>While a much greater participation in higher education as an aim is to be applauded, its implications</w:t>
      </w:r>
      <w:r w:rsidR="00FB3947">
        <w:t xml:space="preserve"> for course quality are obvious and it has attracted some controversy.</w:t>
      </w:r>
      <w:r>
        <w:t xml:space="preserve">  By being funded for increasing enrolments of students, arguably universities will be tempted to enrol larger quotas of those less able</w:t>
      </w:r>
      <w:r w:rsidR="001B58BE">
        <w:t>.</w:t>
      </w:r>
      <w:r w:rsidR="001B58BE">
        <w:rPr>
          <w:rStyle w:val="FootnoteReference"/>
        </w:rPr>
        <w:footnoteReference w:id="64"/>
      </w:r>
      <w:r w:rsidR="00B950D9">
        <w:t xml:space="preserve">  Of course, while </w:t>
      </w:r>
      <w:r w:rsidR="001B58BE">
        <w:t xml:space="preserve">this is not by itself detrimental, </w:t>
      </w:r>
      <w:r w:rsidR="00B950D9">
        <w:t>it is clear</w:t>
      </w:r>
      <w:r w:rsidR="001B58BE">
        <w:t xml:space="preserve"> </w:t>
      </w:r>
      <w:r w:rsidR="00B950D9">
        <w:t xml:space="preserve">that </w:t>
      </w:r>
      <w:r w:rsidR="001B58BE">
        <w:t xml:space="preserve">greater resources </w:t>
      </w:r>
      <w:r w:rsidR="005010EA">
        <w:t xml:space="preserve">could be needed </w:t>
      </w:r>
      <w:r w:rsidR="001B58BE">
        <w:t xml:space="preserve">for </w:t>
      </w:r>
      <w:r w:rsidR="005010EA">
        <w:t xml:space="preserve">the supply of </w:t>
      </w:r>
      <w:r w:rsidR="001B58BE">
        <w:t>more support and more intensive teaching.  It has been predicted by the Group of Eight universities</w:t>
      </w:r>
      <w:r w:rsidR="001B58BE">
        <w:rPr>
          <w:rStyle w:val="FootnoteReference"/>
        </w:rPr>
        <w:footnoteReference w:id="65"/>
      </w:r>
      <w:r w:rsidR="001B58BE">
        <w:t xml:space="preserve"> that the inevitable result is either a high attrition rate or a lowering of standards.</w:t>
      </w:r>
      <w:r w:rsidR="001B58BE">
        <w:rPr>
          <w:rStyle w:val="FootnoteReference"/>
        </w:rPr>
        <w:footnoteReference w:id="66"/>
      </w:r>
      <w:r w:rsidR="005010EA">
        <w:t xml:space="preserve"> The flow on from the first effect could be less student satisfaction and a greater willingness to challenge university decisions.  Strategies for managing this risk should well assume a greater importance.</w:t>
      </w:r>
      <w:r w:rsidR="00D56ABB">
        <w:t xml:space="preserve">  </w:t>
      </w:r>
      <w:r w:rsidR="000E0E74">
        <w:t>In any event, the ‘blowing’ of the Government’s budget continues to receive much media attention.</w:t>
      </w:r>
      <w:r w:rsidR="000E0E74">
        <w:rPr>
          <w:rStyle w:val="FootnoteReference"/>
        </w:rPr>
        <w:footnoteReference w:id="67"/>
      </w:r>
    </w:p>
    <w:p w:rsidR="00C509BD" w:rsidRPr="00AF4D6D" w:rsidRDefault="005010EA" w:rsidP="002E281B">
      <w:pPr>
        <w:pStyle w:val="shortt"/>
        <w:spacing w:line="360" w:lineRule="auto"/>
      </w:pPr>
      <w:r>
        <w:t>The w</w:t>
      </w:r>
      <w:r w:rsidR="00C509BD">
        <w:t xml:space="preserve">idening participation strategies underpinned by these two legislative instruments are accompanied by continuing and fresh endeavours to improve the access to and participation of indigenous students to tertiary education.  </w:t>
      </w:r>
    </w:p>
    <w:p w:rsidR="00904AC3" w:rsidRPr="009B3EB1" w:rsidRDefault="00904AC3" w:rsidP="002E281B">
      <w:pPr>
        <w:tabs>
          <w:tab w:val="left" w:pos="6677"/>
        </w:tabs>
        <w:spacing w:line="360" w:lineRule="auto"/>
        <w:outlineLvl w:val="0"/>
        <w:rPr>
          <w:rFonts w:ascii="Times New Roman" w:hAnsi="Times New Roman" w:cs="Times New Roman"/>
          <w:i/>
          <w:sz w:val="24"/>
          <w:szCs w:val="24"/>
        </w:rPr>
      </w:pPr>
      <w:r w:rsidRPr="009B3EB1">
        <w:rPr>
          <w:rFonts w:ascii="Times New Roman" w:hAnsi="Times New Roman" w:cs="Times New Roman"/>
          <w:bCs/>
          <w:i/>
          <w:sz w:val="24"/>
          <w:szCs w:val="24"/>
        </w:rPr>
        <w:t>Indigenous Education</w:t>
      </w:r>
    </w:p>
    <w:p w:rsidR="00904AC3" w:rsidRPr="00B6620A" w:rsidRDefault="00904AC3" w:rsidP="002E281B">
      <w:pPr>
        <w:tabs>
          <w:tab w:val="left" w:pos="6677"/>
        </w:tabs>
        <w:spacing w:line="360" w:lineRule="auto"/>
        <w:rPr>
          <w:rFonts w:ascii="Times New Roman" w:hAnsi="Times New Roman" w:cs="Times New Roman"/>
          <w:sz w:val="24"/>
          <w:szCs w:val="24"/>
        </w:rPr>
      </w:pPr>
      <w:r w:rsidRPr="00B6620A">
        <w:rPr>
          <w:rFonts w:ascii="Times New Roman" w:hAnsi="Times New Roman" w:cs="Times New Roman"/>
          <w:sz w:val="24"/>
          <w:szCs w:val="24"/>
        </w:rPr>
        <w:t>The Australian Institute of Aboriginal and Torres S</w:t>
      </w:r>
      <w:r>
        <w:rPr>
          <w:rFonts w:ascii="Times New Roman" w:hAnsi="Times New Roman" w:cs="Times New Roman"/>
          <w:sz w:val="24"/>
          <w:szCs w:val="24"/>
        </w:rPr>
        <w:t xml:space="preserve">trait Islander Studies was </w:t>
      </w:r>
      <w:r w:rsidRPr="00B6620A">
        <w:rPr>
          <w:rFonts w:ascii="Times New Roman" w:hAnsi="Times New Roman" w:cs="Times New Roman"/>
          <w:sz w:val="24"/>
          <w:szCs w:val="24"/>
        </w:rPr>
        <w:t xml:space="preserve">established </w:t>
      </w:r>
      <w:r>
        <w:rPr>
          <w:rFonts w:ascii="Times New Roman" w:hAnsi="Times New Roman" w:cs="Times New Roman"/>
          <w:sz w:val="24"/>
          <w:szCs w:val="24"/>
        </w:rPr>
        <w:t xml:space="preserve">in 1989 </w:t>
      </w:r>
      <w:r w:rsidRPr="00B6620A">
        <w:rPr>
          <w:rFonts w:ascii="Times New Roman" w:hAnsi="Times New Roman" w:cs="Times New Roman"/>
          <w:sz w:val="24"/>
          <w:szCs w:val="24"/>
        </w:rPr>
        <w:t>to foster the development of Aboriginal and Torres Strait Islander education.</w:t>
      </w:r>
      <w:r>
        <w:rPr>
          <w:rStyle w:val="FootnoteReference"/>
          <w:sz w:val="24"/>
          <w:szCs w:val="24"/>
        </w:rPr>
        <w:footnoteReference w:id="68"/>
      </w:r>
    </w:p>
    <w:p w:rsidR="00904AC3" w:rsidRPr="00B6620A" w:rsidRDefault="00390850" w:rsidP="002E281B">
      <w:pPr>
        <w:tabs>
          <w:tab w:val="left" w:pos="6677"/>
        </w:tabs>
        <w:spacing w:before="120" w:line="360" w:lineRule="auto"/>
        <w:rPr>
          <w:rFonts w:ascii="Times New Roman" w:hAnsi="Times New Roman" w:cs="Times New Roman"/>
          <w:sz w:val="24"/>
          <w:szCs w:val="24"/>
        </w:rPr>
      </w:pPr>
      <w:r>
        <w:rPr>
          <w:rFonts w:ascii="Times New Roman" w:hAnsi="Times New Roman" w:cs="Times New Roman"/>
          <w:sz w:val="24"/>
          <w:szCs w:val="24"/>
        </w:rPr>
        <w:t>U</w:t>
      </w:r>
      <w:r w:rsidR="00904AC3" w:rsidRPr="00B6620A">
        <w:rPr>
          <w:rFonts w:ascii="Times New Roman" w:hAnsi="Times New Roman" w:cs="Times New Roman"/>
          <w:sz w:val="24"/>
          <w:szCs w:val="24"/>
        </w:rPr>
        <w:t xml:space="preserve">nder the (CTH) </w:t>
      </w:r>
      <w:r w:rsidR="00904AC3" w:rsidRPr="006A02E7">
        <w:rPr>
          <w:rFonts w:ascii="Times New Roman" w:hAnsi="Times New Roman" w:cs="Times New Roman"/>
          <w:i/>
          <w:sz w:val="24"/>
          <w:szCs w:val="24"/>
        </w:rPr>
        <w:t>Indigenous Education (Targeted Assistance) Act 2000</w:t>
      </w:r>
      <w:r w:rsidR="00904AC3" w:rsidRPr="00B6620A">
        <w:rPr>
          <w:rFonts w:ascii="Times New Roman" w:hAnsi="Times New Roman" w:cs="Times New Roman"/>
          <w:sz w:val="24"/>
          <w:szCs w:val="24"/>
        </w:rPr>
        <w:t>, the Minister can make an agreement with an education provider for recurrent expenditure for Aboriginal Study Assistance Scheme ('ABSTUDY') approved courses, and with education and other providers for the funding of particular projects.</w:t>
      </w:r>
      <w:r w:rsidR="00904AC3">
        <w:rPr>
          <w:rStyle w:val="FootnoteReference"/>
          <w:sz w:val="24"/>
          <w:szCs w:val="24"/>
        </w:rPr>
        <w:footnoteReference w:id="69"/>
      </w:r>
      <w:r w:rsidR="00904AC3" w:rsidRPr="00B6620A">
        <w:rPr>
          <w:rFonts w:ascii="Times New Roman" w:hAnsi="Times New Roman" w:cs="Times New Roman"/>
          <w:sz w:val="24"/>
          <w:szCs w:val="24"/>
        </w:rPr>
        <w:t xml:space="preserve"> The objects of the Act are aligned with the 21 goals of the National Aboriginal and Torres Strait Islander Education Policy (the 'AEP')</w:t>
      </w:r>
      <w:r w:rsidR="00904AC3">
        <w:rPr>
          <w:rFonts w:ascii="Times New Roman" w:hAnsi="Times New Roman" w:cs="Times New Roman"/>
          <w:sz w:val="24"/>
          <w:szCs w:val="24"/>
          <w:vertAlign w:val="superscript"/>
        </w:rPr>
        <w:t xml:space="preserve"> </w:t>
      </w:r>
      <w:r w:rsidR="00904AC3">
        <w:rPr>
          <w:rStyle w:val="FootnoteReference"/>
          <w:sz w:val="24"/>
          <w:szCs w:val="24"/>
        </w:rPr>
        <w:footnoteReference w:id="70"/>
      </w:r>
      <w:r w:rsidR="00904AC3" w:rsidRPr="00B6620A">
        <w:rPr>
          <w:rFonts w:ascii="Times New Roman" w:hAnsi="Times New Roman" w:cs="Times New Roman"/>
          <w:sz w:val="24"/>
          <w:szCs w:val="24"/>
        </w:rPr>
        <w:t xml:space="preserve"> and include:</w:t>
      </w:r>
    </w:p>
    <w:p w:rsidR="00904AC3" w:rsidRPr="00B6620A" w:rsidRDefault="00904AC3" w:rsidP="002E281B">
      <w:pPr>
        <w:pStyle w:val="ListParagraph"/>
        <w:numPr>
          <w:ilvl w:val="0"/>
          <w:numId w:val="3"/>
        </w:numPr>
        <w:tabs>
          <w:tab w:val="left" w:pos="6677"/>
        </w:tabs>
        <w:autoSpaceDE w:val="0"/>
        <w:autoSpaceDN w:val="0"/>
        <w:spacing w:after="0" w:line="360" w:lineRule="auto"/>
        <w:rPr>
          <w:rFonts w:ascii="Times New Roman" w:hAnsi="Times New Roman" w:cs="Times New Roman"/>
          <w:sz w:val="24"/>
          <w:szCs w:val="24"/>
        </w:rPr>
      </w:pPr>
      <w:r w:rsidRPr="00B6620A">
        <w:rPr>
          <w:rFonts w:ascii="Times New Roman" w:hAnsi="Times New Roman" w:cs="Times New Roman"/>
          <w:sz w:val="24"/>
          <w:szCs w:val="24"/>
        </w:rPr>
        <w:t xml:space="preserve">increasing the involvement of Indigenous people in educational decisions; </w:t>
      </w:r>
    </w:p>
    <w:p w:rsidR="00904AC3" w:rsidRPr="00B6620A" w:rsidRDefault="00904AC3" w:rsidP="002E281B">
      <w:pPr>
        <w:numPr>
          <w:ilvl w:val="0"/>
          <w:numId w:val="3"/>
        </w:numPr>
        <w:tabs>
          <w:tab w:val="left" w:pos="6677"/>
        </w:tabs>
        <w:autoSpaceDE w:val="0"/>
        <w:autoSpaceDN w:val="0"/>
        <w:spacing w:after="0" w:line="360" w:lineRule="auto"/>
        <w:rPr>
          <w:rFonts w:ascii="Times New Roman" w:hAnsi="Times New Roman" w:cs="Times New Roman"/>
          <w:sz w:val="24"/>
          <w:szCs w:val="24"/>
        </w:rPr>
      </w:pPr>
      <w:r w:rsidRPr="00B6620A">
        <w:rPr>
          <w:rFonts w:ascii="Times New Roman" w:hAnsi="Times New Roman" w:cs="Times New Roman"/>
          <w:sz w:val="24"/>
          <w:szCs w:val="24"/>
        </w:rPr>
        <w:t xml:space="preserve">providing for equal access to education by Indigenous people; </w:t>
      </w:r>
    </w:p>
    <w:p w:rsidR="00904AC3" w:rsidRPr="00B6620A" w:rsidRDefault="00904AC3" w:rsidP="002E281B">
      <w:pPr>
        <w:numPr>
          <w:ilvl w:val="0"/>
          <w:numId w:val="3"/>
        </w:numPr>
        <w:tabs>
          <w:tab w:val="left" w:pos="6677"/>
        </w:tabs>
        <w:autoSpaceDE w:val="0"/>
        <w:autoSpaceDN w:val="0"/>
        <w:spacing w:after="0" w:line="360" w:lineRule="auto"/>
        <w:rPr>
          <w:rFonts w:ascii="Times New Roman" w:hAnsi="Times New Roman" w:cs="Times New Roman"/>
          <w:sz w:val="24"/>
          <w:szCs w:val="24"/>
        </w:rPr>
      </w:pPr>
      <w:r w:rsidRPr="00B6620A">
        <w:rPr>
          <w:rFonts w:ascii="Times New Roman" w:hAnsi="Times New Roman" w:cs="Times New Roman"/>
          <w:sz w:val="24"/>
          <w:szCs w:val="24"/>
        </w:rPr>
        <w:t xml:space="preserve">ensuring equity of participation by Indigenous people in education; </w:t>
      </w:r>
    </w:p>
    <w:p w:rsidR="00904AC3" w:rsidRPr="00B6620A" w:rsidRDefault="00904AC3" w:rsidP="002E281B">
      <w:pPr>
        <w:numPr>
          <w:ilvl w:val="0"/>
          <w:numId w:val="3"/>
        </w:numPr>
        <w:tabs>
          <w:tab w:val="left" w:pos="6677"/>
        </w:tabs>
        <w:autoSpaceDE w:val="0"/>
        <w:autoSpaceDN w:val="0"/>
        <w:spacing w:after="0" w:line="360" w:lineRule="auto"/>
        <w:rPr>
          <w:rFonts w:ascii="Times New Roman" w:hAnsi="Times New Roman" w:cs="Times New Roman"/>
          <w:sz w:val="24"/>
          <w:szCs w:val="24"/>
        </w:rPr>
      </w:pPr>
      <w:r w:rsidRPr="00B6620A">
        <w:rPr>
          <w:rFonts w:ascii="Times New Roman" w:hAnsi="Times New Roman" w:cs="Times New Roman"/>
          <w:sz w:val="24"/>
          <w:szCs w:val="24"/>
        </w:rPr>
        <w:t xml:space="preserve">achieving equitable and appropriate educational outcomes for Indigenous people; and </w:t>
      </w:r>
    </w:p>
    <w:p w:rsidR="00904AC3" w:rsidRPr="00B6620A" w:rsidRDefault="00904AC3" w:rsidP="002E281B">
      <w:pPr>
        <w:numPr>
          <w:ilvl w:val="0"/>
          <w:numId w:val="3"/>
        </w:numPr>
        <w:tabs>
          <w:tab w:val="left" w:pos="6677"/>
        </w:tabs>
        <w:autoSpaceDE w:val="0"/>
        <w:autoSpaceDN w:val="0"/>
        <w:spacing w:after="0" w:line="360" w:lineRule="auto"/>
        <w:rPr>
          <w:rFonts w:ascii="Times New Roman" w:hAnsi="Times New Roman" w:cs="Times New Roman"/>
          <w:sz w:val="24"/>
          <w:szCs w:val="24"/>
        </w:rPr>
      </w:pPr>
      <w:r w:rsidRPr="00B6620A">
        <w:rPr>
          <w:rFonts w:ascii="Times New Roman" w:hAnsi="Times New Roman" w:cs="Times New Roman"/>
          <w:sz w:val="24"/>
          <w:szCs w:val="24"/>
        </w:rPr>
        <w:t>developing culturally appropriate education services for Indigenous people.</w:t>
      </w:r>
    </w:p>
    <w:p w:rsidR="00904AC3" w:rsidRDefault="00904AC3" w:rsidP="002E281B">
      <w:pPr>
        <w:tabs>
          <w:tab w:val="left" w:pos="6677"/>
        </w:tabs>
        <w:spacing w:line="360" w:lineRule="auto"/>
        <w:rPr>
          <w:rFonts w:ascii="Times New Roman" w:hAnsi="Times New Roman" w:cs="Times New Roman"/>
          <w:sz w:val="24"/>
          <w:szCs w:val="24"/>
        </w:rPr>
      </w:pPr>
    </w:p>
    <w:p w:rsidR="00904AC3" w:rsidRDefault="00904AC3" w:rsidP="002E281B">
      <w:pPr>
        <w:tabs>
          <w:tab w:val="left" w:pos="6677"/>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In the higher education sector, p</w:t>
      </w:r>
      <w:r w:rsidRPr="00B6620A">
        <w:rPr>
          <w:rFonts w:ascii="Times New Roman" w:hAnsi="Times New Roman" w:cs="Times New Roman"/>
          <w:sz w:val="24"/>
          <w:szCs w:val="24"/>
        </w:rPr>
        <w:t>rovision is made for Indigenous education agreements for the purpose of advancing these objects.</w:t>
      </w:r>
      <w:r>
        <w:rPr>
          <w:rStyle w:val="FootnoteReference"/>
          <w:sz w:val="24"/>
          <w:szCs w:val="24"/>
        </w:rPr>
        <w:footnoteReference w:id="71"/>
      </w:r>
      <w:r w:rsidRPr="00B6620A">
        <w:rPr>
          <w:rFonts w:ascii="Times New Roman" w:hAnsi="Times New Roman" w:cs="Times New Roman"/>
          <w:sz w:val="24"/>
          <w:szCs w:val="24"/>
        </w:rPr>
        <w:t xml:space="preserve"> The appropriation of funds for ABSTUDY and non-ABSTUDY assistance is also provided for.</w:t>
      </w:r>
      <w:r>
        <w:rPr>
          <w:rStyle w:val="FootnoteReference"/>
          <w:sz w:val="24"/>
          <w:szCs w:val="24"/>
        </w:rPr>
        <w:footnoteReference w:id="72"/>
      </w:r>
      <w:r>
        <w:rPr>
          <w:rFonts w:ascii="Times New Roman" w:hAnsi="Times New Roman" w:cs="Times New Roman"/>
          <w:sz w:val="24"/>
          <w:szCs w:val="24"/>
          <w:vertAlign w:val="superscript"/>
        </w:rPr>
        <w:t xml:space="preserve">     </w:t>
      </w:r>
    </w:p>
    <w:p w:rsidR="00904AC3" w:rsidRPr="00822AC1" w:rsidRDefault="00904AC3" w:rsidP="002E281B">
      <w:pPr>
        <w:tabs>
          <w:tab w:val="left" w:pos="6677"/>
        </w:tabs>
        <w:spacing w:line="360" w:lineRule="auto"/>
        <w:rPr>
          <w:rFonts w:ascii="Times New Roman" w:eastAsia="Times New Roman" w:hAnsi="Times New Roman" w:cs="Times New Roman"/>
          <w:color w:val="000000"/>
          <w:sz w:val="24"/>
          <w:szCs w:val="24"/>
        </w:rPr>
      </w:pPr>
      <w:r w:rsidRPr="008A5D13">
        <w:rPr>
          <w:rFonts w:ascii="Times New Roman" w:hAnsi="Times New Roman" w:cs="Times New Roman"/>
          <w:sz w:val="24"/>
          <w:szCs w:val="24"/>
        </w:rPr>
        <w:t>The advancement of opportunity for indigenous education in all sectors remains a priority for success</w:t>
      </w:r>
      <w:r w:rsidR="00390850">
        <w:rPr>
          <w:rFonts w:ascii="Times New Roman" w:hAnsi="Times New Roman" w:cs="Times New Roman"/>
          <w:sz w:val="24"/>
          <w:szCs w:val="24"/>
        </w:rPr>
        <w:t>ive Commonwealth go</w:t>
      </w:r>
      <w:r w:rsidR="00D56ABB">
        <w:rPr>
          <w:rFonts w:ascii="Times New Roman" w:hAnsi="Times New Roman" w:cs="Times New Roman"/>
          <w:sz w:val="24"/>
          <w:szCs w:val="24"/>
        </w:rPr>
        <w:t>vernments and there is a commit</w:t>
      </w:r>
      <w:r w:rsidR="00390850">
        <w:rPr>
          <w:rFonts w:ascii="Times New Roman" w:hAnsi="Times New Roman" w:cs="Times New Roman"/>
          <w:sz w:val="24"/>
          <w:szCs w:val="24"/>
        </w:rPr>
        <w:t>ment</w:t>
      </w:r>
      <w:r w:rsidRPr="008A5D13">
        <w:rPr>
          <w:rFonts w:ascii="Times New Roman" w:hAnsi="Times New Roman" w:cs="Times New Roman"/>
          <w:color w:val="000000"/>
          <w:sz w:val="24"/>
          <w:szCs w:val="24"/>
        </w:rPr>
        <w:t xml:space="preserve"> to reconciliation and improving outcomes for Aboriginal and Torres Strait Islander peoples across the key areas of early childhood, education, training and skills, and employment and workplace relations.</w:t>
      </w:r>
      <w:r>
        <w:rPr>
          <w:rFonts w:ascii="Times New Roman" w:hAnsi="Times New Roman" w:cs="Times New Roman"/>
          <w:sz w:val="24"/>
          <w:szCs w:val="24"/>
          <w:vertAlign w:val="superscript"/>
        </w:rPr>
        <w:t xml:space="preserve"> </w:t>
      </w:r>
      <w:r>
        <w:rPr>
          <w:rFonts w:ascii="Times New Roman" w:eastAsia="Times New Roman" w:hAnsi="Times New Roman" w:cs="Times New Roman"/>
          <w:color w:val="000000"/>
          <w:sz w:val="24"/>
          <w:szCs w:val="24"/>
        </w:rPr>
        <w:t xml:space="preserve"> </w:t>
      </w:r>
      <w:r w:rsidR="00390850">
        <w:rPr>
          <w:rFonts w:ascii="Times New Roman" w:eastAsia="Times New Roman" w:hAnsi="Times New Roman" w:cs="Times New Roman"/>
          <w:color w:val="000000"/>
          <w:sz w:val="24"/>
          <w:szCs w:val="24"/>
        </w:rPr>
        <w:t>The Commonwealth Department of Education</w:t>
      </w:r>
      <w:r w:rsidR="005916DC">
        <w:rPr>
          <w:rFonts w:ascii="Times New Roman" w:eastAsia="Times New Roman" w:hAnsi="Times New Roman" w:cs="Times New Roman"/>
          <w:color w:val="000000"/>
          <w:sz w:val="24"/>
          <w:szCs w:val="24"/>
        </w:rPr>
        <w:t>, Employment and Workplace Relations (</w:t>
      </w:r>
      <w:r w:rsidRPr="00822AC1">
        <w:rPr>
          <w:rFonts w:ascii="Times New Roman" w:eastAsia="Times New Roman" w:hAnsi="Times New Roman" w:cs="Times New Roman"/>
          <w:color w:val="000000"/>
          <w:sz w:val="24"/>
          <w:szCs w:val="24"/>
        </w:rPr>
        <w:t>DEEWR</w:t>
      </w:r>
      <w:r w:rsidR="005916DC">
        <w:rPr>
          <w:rFonts w:ascii="Times New Roman" w:eastAsia="Times New Roman" w:hAnsi="Times New Roman" w:cs="Times New Roman"/>
          <w:color w:val="000000"/>
          <w:sz w:val="24"/>
          <w:szCs w:val="24"/>
        </w:rPr>
        <w:t>) launched its</w:t>
      </w:r>
      <w:r w:rsidRPr="00822AC1">
        <w:rPr>
          <w:rFonts w:ascii="Times New Roman" w:eastAsia="Times New Roman" w:hAnsi="Times New Roman" w:cs="Times New Roman"/>
          <w:color w:val="000000"/>
          <w:sz w:val="24"/>
          <w:szCs w:val="24"/>
        </w:rPr>
        <w:t xml:space="preserve"> first Reconciliation Action Plan (RAP) 2009–2011 on 27 May 2009 duri</w:t>
      </w:r>
      <w:r>
        <w:rPr>
          <w:rFonts w:ascii="Times New Roman" w:eastAsia="Times New Roman" w:hAnsi="Times New Roman" w:cs="Times New Roman"/>
          <w:color w:val="000000"/>
          <w:sz w:val="24"/>
          <w:szCs w:val="24"/>
        </w:rPr>
        <w:t>ng Nati</w:t>
      </w:r>
      <w:r w:rsidR="005916DC">
        <w:rPr>
          <w:rFonts w:ascii="Times New Roman" w:eastAsia="Times New Roman" w:hAnsi="Times New Roman" w:cs="Times New Roman"/>
          <w:color w:val="000000"/>
          <w:sz w:val="24"/>
          <w:szCs w:val="24"/>
        </w:rPr>
        <w:t>onal Reconciliation Week.  T</w:t>
      </w:r>
      <w:r>
        <w:rPr>
          <w:rFonts w:ascii="Times New Roman" w:eastAsia="Times New Roman" w:hAnsi="Times New Roman" w:cs="Times New Roman"/>
          <w:color w:val="000000"/>
          <w:sz w:val="24"/>
          <w:szCs w:val="24"/>
        </w:rPr>
        <w:t>he</w:t>
      </w:r>
      <w:r w:rsidRPr="00822AC1">
        <w:rPr>
          <w:rFonts w:ascii="Times New Roman" w:eastAsia="Times New Roman" w:hAnsi="Times New Roman" w:cs="Times New Roman"/>
          <w:color w:val="000000"/>
          <w:sz w:val="24"/>
          <w:szCs w:val="24"/>
        </w:rPr>
        <w:t xml:space="preserve"> second RAP 2011–2014 was launched on 26 October 2011</w:t>
      </w:r>
      <w:r w:rsidR="005916DC">
        <w:rPr>
          <w:rFonts w:ascii="Times New Roman" w:eastAsia="Times New Roman" w:hAnsi="Times New Roman" w:cs="Times New Roman"/>
          <w:color w:val="000000"/>
          <w:sz w:val="24"/>
          <w:szCs w:val="24"/>
        </w:rPr>
        <w:t xml:space="preserve"> as a ‘</w:t>
      </w:r>
      <w:r w:rsidRPr="00822AC1">
        <w:rPr>
          <w:rFonts w:ascii="Times New Roman" w:eastAsia="Times New Roman" w:hAnsi="Times New Roman" w:cs="Times New Roman"/>
          <w:color w:val="000000"/>
          <w:sz w:val="24"/>
          <w:szCs w:val="24"/>
        </w:rPr>
        <w:t>living document</w:t>
      </w:r>
      <w:r w:rsidR="005916D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which </w:t>
      </w:r>
      <w:r w:rsidRPr="00822AC1">
        <w:rPr>
          <w:rFonts w:ascii="Times New Roman" w:eastAsia="Times New Roman" w:hAnsi="Times New Roman" w:cs="Times New Roman"/>
          <w:color w:val="000000"/>
          <w:sz w:val="24"/>
          <w:szCs w:val="24"/>
        </w:rPr>
        <w:t>sets out practical and defined targets that provide a framework of priori</w:t>
      </w:r>
      <w:r>
        <w:rPr>
          <w:rFonts w:ascii="Times New Roman" w:eastAsia="Times New Roman" w:hAnsi="Times New Roman" w:cs="Times New Roman"/>
          <w:color w:val="000000"/>
          <w:sz w:val="24"/>
          <w:szCs w:val="24"/>
        </w:rPr>
        <w:t xml:space="preserve">ties for the next three years.  </w:t>
      </w:r>
    </w:p>
    <w:p w:rsidR="00C52EF4" w:rsidRPr="00B551FF" w:rsidRDefault="00DC1A75" w:rsidP="002E281B">
      <w:pPr>
        <w:tabs>
          <w:tab w:val="left" w:pos="6677"/>
        </w:tabs>
        <w:spacing w:line="360" w:lineRule="auto"/>
        <w:rPr>
          <w:rFonts w:ascii="Times New Roman" w:hAnsi="Times New Roman" w:cs="Times New Roman"/>
          <w:sz w:val="24"/>
          <w:szCs w:val="24"/>
        </w:rPr>
        <w:sectPr w:rsidR="00C52EF4" w:rsidRPr="00B551FF">
          <w:headerReference w:type="even" r:id="rId7"/>
          <w:headerReference w:type="default" r:id="rId8"/>
          <w:footerReference w:type="even" r:id="rId9"/>
          <w:footerReference w:type="default" r:id="rId10"/>
          <w:headerReference w:type="first" r:id="rId11"/>
          <w:footerReference w:type="first" r:id="rId12"/>
          <w:type w:val="continuous"/>
          <w:pgSz w:w="12240" w:h="15840"/>
          <w:pgMar w:top="1728" w:right="1296" w:bottom="1296" w:left="1296" w:header="720" w:footer="720" w:gutter="0"/>
          <w:cols w:space="720"/>
        </w:sectPr>
      </w:pPr>
      <w:r>
        <w:rPr>
          <w:rFonts w:ascii="Times New Roman" w:hAnsi="Times New Roman" w:cs="Times New Roman"/>
          <w:sz w:val="24"/>
          <w:szCs w:val="24"/>
        </w:rPr>
        <w:t>T</w:t>
      </w:r>
      <w:r w:rsidR="00904AC3">
        <w:rPr>
          <w:rFonts w:ascii="Times New Roman" w:hAnsi="Times New Roman" w:cs="Times New Roman"/>
          <w:sz w:val="24"/>
          <w:szCs w:val="24"/>
        </w:rPr>
        <w:t xml:space="preserve">he </w:t>
      </w:r>
      <w:r w:rsidR="00904AC3" w:rsidRPr="00822AC1">
        <w:rPr>
          <w:rStyle w:val="Emphasis"/>
          <w:rFonts w:ascii="Times New Roman" w:hAnsi="Times New Roman" w:cs="Times New Roman"/>
          <w:i w:val="0"/>
          <w:sz w:val="24"/>
          <w:szCs w:val="24"/>
        </w:rPr>
        <w:t>Review</w:t>
      </w:r>
      <w:r w:rsidR="00904AC3">
        <w:rPr>
          <w:rStyle w:val="Emphasis"/>
          <w:rFonts w:ascii="Helvetica" w:hAnsi="Helvetica"/>
          <w:sz w:val="19"/>
          <w:szCs w:val="19"/>
        </w:rPr>
        <w:t xml:space="preserve"> </w:t>
      </w:r>
      <w:r w:rsidR="00904AC3" w:rsidRPr="00822AC1">
        <w:rPr>
          <w:rStyle w:val="Emphasis"/>
          <w:rFonts w:ascii="Times New Roman" w:hAnsi="Times New Roman" w:cs="Times New Roman"/>
          <w:i w:val="0"/>
          <w:sz w:val="24"/>
          <w:szCs w:val="24"/>
        </w:rPr>
        <w:t>of Higher Education Access and Outcomes for Aboriginal and Torres Strait Islander People</w:t>
      </w:r>
      <w:r>
        <w:rPr>
          <w:rFonts w:ascii="Times New Roman" w:hAnsi="Times New Roman" w:cs="Times New Roman"/>
          <w:sz w:val="24"/>
          <w:szCs w:val="24"/>
        </w:rPr>
        <w:t xml:space="preserve"> conducted by the Australian Government and led by Professor Larissa </w:t>
      </w:r>
      <w:proofErr w:type="spellStart"/>
      <w:r>
        <w:rPr>
          <w:rFonts w:ascii="Times New Roman" w:hAnsi="Times New Roman" w:cs="Times New Roman"/>
          <w:sz w:val="24"/>
          <w:szCs w:val="24"/>
        </w:rPr>
        <w:t>Behrendt</w:t>
      </w:r>
      <w:proofErr w:type="spellEnd"/>
      <w:r>
        <w:rPr>
          <w:rFonts w:ascii="Times New Roman" w:hAnsi="Times New Roman" w:cs="Times New Roman"/>
          <w:sz w:val="24"/>
          <w:szCs w:val="24"/>
        </w:rPr>
        <w:t xml:space="preserve"> </w:t>
      </w:r>
      <w:r w:rsidR="00B551FF">
        <w:rPr>
          <w:rFonts w:ascii="Times New Roman" w:hAnsi="Times New Roman" w:cs="Times New Roman"/>
          <w:sz w:val="24"/>
          <w:szCs w:val="24"/>
        </w:rPr>
        <w:t xml:space="preserve">released </w:t>
      </w:r>
      <w:r>
        <w:rPr>
          <w:rFonts w:ascii="Times New Roman" w:hAnsi="Times New Roman" w:cs="Times New Roman"/>
          <w:sz w:val="24"/>
          <w:szCs w:val="24"/>
        </w:rPr>
        <w:t xml:space="preserve">its report </w:t>
      </w:r>
      <w:r w:rsidR="00B551FF">
        <w:rPr>
          <w:rFonts w:ascii="Times New Roman" w:hAnsi="Times New Roman" w:cs="Times New Roman"/>
          <w:sz w:val="24"/>
          <w:szCs w:val="24"/>
        </w:rPr>
        <w:t>on 14 September 2012</w:t>
      </w:r>
      <w:r>
        <w:rPr>
          <w:rFonts w:ascii="Times New Roman" w:hAnsi="Times New Roman" w:cs="Times New Roman"/>
          <w:sz w:val="24"/>
          <w:szCs w:val="24"/>
        </w:rPr>
        <w:t>.  It made</w:t>
      </w:r>
      <w:r w:rsidR="00B551FF">
        <w:rPr>
          <w:rFonts w:ascii="Times New Roman" w:hAnsi="Times New Roman" w:cs="Times New Roman"/>
          <w:sz w:val="24"/>
          <w:szCs w:val="24"/>
        </w:rPr>
        <w:t xml:space="preserve"> 35 recommendations relating to increasing the number of indigenous students and staff to a target of 2.2% of the total university population.  The </w:t>
      </w:r>
      <w:r w:rsidR="0032019B">
        <w:rPr>
          <w:rFonts w:ascii="Times New Roman" w:hAnsi="Times New Roman" w:cs="Times New Roman"/>
          <w:sz w:val="24"/>
          <w:szCs w:val="24"/>
        </w:rPr>
        <w:t>sector awa</w:t>
      </w:r>
      <w:r w:rsidR="00B551FF">
        <w:rPr>
          <w:rFonts w:ascii="Times New Roman" w:hAnsi="Times New Roman" w:cs="Times New Roman"/>
          <w:sz w:val="24"/>
          <w:szCs w:val="24"/>
        </w:rPr>
        <w:t xml:space="preserve">its </w:t>
      </w:r>
      <w:r w:rsidR="0032019B">
        <w:rPr>
          <w:rFonts w:ascii="Times New Roman" w:hAnsi="Times New Roman" w:cs="Times New Roman"/>
          <w:sz w:val="24"/>
          <w:szCs w:val="24"/>
        </w:rPr>
        <w:t xml:space="preserve">the Government’s </w:t>
      </w:r>
      <w:r w:rsidR="00D56ABB">
        <w:rPr>
          <w:rFonts w:ascii="Times New Roman" w:hAnsi="Times New Roman" w:cs="Times New Roman"/>
          <w:sz w:val="24"/>
          <w:szCs w:val="24"/>
        </w:rPr>
        <w:t>response.</w:t>
      </w:r>
    </w:p>
    <w:p w:rsidR="00CE57CD" w:rsidRPr="000E0E74" w:rsidRDefault="00792B2B" w:rsidP="000E0E74">
      <w:pPr>
        <w:spacing w:before="120" w:line="360" w:lineRule="auto"/>
        <w:rPr>
          <w:rFonts w:ascii="Times New Roman" w:hAnsi="Times New Roman" w:cs="Times New Roman"/>
          <w:b/>
          <w:sz w:val="24"/>
          <w:szCs w:val="24"/>
        </w:rPr>
      </w:pPr>
      <w:r>
        <w:rPr>
          <w:rFonts w:ascii="Times New Roman" w:hAnsi="Times New Roman" w:cs="Times New Roman"/>
          <w:b/>
          <w:sz w:val="24"/>
          <w:szCs w:val="24"/>
        </w:rPr>
        <w:t xml:space="preserve">Quality in </w:t>
      </w:r>
      <w:r w:rsidR="00CE57CD" w:rsidRPr="000E0E74">
        <w:rPr>
          <w:rFonts w:ascii="Times New Roman" w:hAnsi="Times New Roman" w:cs="Times New Roman"/>
          <w:b/>
          <w:sz w:val="24"/>
          <w:szCs w:val="24"/>
        </w:rPr>
        <w:t>Research – Excellence in Research Australia (ERA)</w:t>
      </w:r>
    </w:p>
    <w:p w:rsidR="009B3EB1" w:rsidRDefault="009B3EB1" w:rsidP="002E281B">
      <w:pPr>
        <w:pStyle w:val="NormalWeb"/>
        <w:shd w:val="clear" w:color="auto" w:fill="FFFFFF"/>
        <w:spacing w:line="360" w:lineRule="auto"/>
        <w:rPr>
          <w:color w:val="000000"/>
        </w:rPr>
      </w:pPr>
      <w:r>
        <w:rPr>
          <w:color w:val="000000"/>
        </w:rPr>
        <w:t xml:space="preserve">How best the Government may ensure value for its research money is an ongoing debate.  Research funding is designed to provide compensation for the direct costs of research borne by universities and research strategy is, in line with comparative jurisdictions, driven increasingly by the need for the return on investment to be demonstrated.  Currently, the funding is provided pursuant to the legislative instrument made under the </w:t>
      </w:r>
      <w:r w:rsidR="000E0E74">
        <w:rPr>
          <w:color w:val="000000"/>
        </w:rPr>
        <w:t xml:space="preserve">(CTH) </w:t>
      </w:r>
      <w:r>
        <w:rPr>
          <w:i/>
          <w:color w:val="000000"/>
        </w:rPr>
        <w:t xml:space="preserve">Higher Education Support Act 2003 </w:t>
      </w:r>
      <w:r>
        <w:rPr>
          <w:color w:val="000000"/>
        </w:rPr>
        <w:t xml:space="preserve">and known as </w:t>
      </w:r>
      <w:r w:rsidR="000E0E74">
        <w:rPr>
          <w:color w:val="000000"/>
        </w:rPr>
        <w:t xml:space="preserve">(CTH) </w:t>
      </w:r>
      <w:r>
        <w:rPr>
          <w:i/>
          <w:color w:val="000000"/>
        </w:rPr>
        <w:t xml:space="preserve">Other Grants Guidelines (Research) 2010.  </w:t>
      </w:r>
      <w:r>
        <w:rPr>
          <w:color w:val="000000"/>
        </w:rPr>
        <w:t xml:space="preserve">Grants to support research by, and the research capability of, are higher education providers are divided primarily into three different headings:  Research Infrastructure Block Grants (RIBG), Joint Research Engagement (JRE), </w:t>
      </w:r>
      <w:r w:rsidR="0032019B">
        <w:rPr>
          <w:color w:val="000000"/>
        </w:rPr>
        <w:t xml:space="preserve">and </w:t>
      </w:r>
      <w:r>
        <w:rPr>
          <w:color w:val="000000"/>
        </w:rPr>
        <w:t>Sustainable Research Excellence (SRE).</w:t>
      </w:r>
      <w:r>
        <w:rPr>
          <w:rStyle w:val="FootnoteReference"/>
          <w:color w:val="000000"/>
        </w:rPr>
        <w:footnoteReference w:id="73"/>
      </w:r>
      <w:r>
        <w:rPr>
          <w:color w:val="000000"/>
        </w:rPr>
        <w:t xml:space="preserve">  Grants to support the training of research students are made under the Research Training Scheme (RTS) and the Commercialisation Training Scheme (CTS).</w:t>
      </w:r>
      <w:r>
        <w:rPr>
          <w:rStyle w:val="FootnoteReference"/>
          <w:color w:val="000000"/>
        </w:rPr>
        <w:footnoteReference w:id="74"/>
      </w:r>
      <w:r>
        <w:rPr>
          <w:color w:val="000000"/>
        </w:rPr>
        <w:t xml:space="preserve"> Until now, under these schemes research funding for universities was based on quantitative information supplied by each university (known as the HERD collection and based on research outputs of academics), Higher Degree Research students’ completions, and research income from specific grants.  </w:t>
      </w:r>
    </w:p>
    <w:p w:rsidR="00CE57CD" w:rsidRDefault="00CE57CD" w:rsidP="002E281B">
      <w:pPr>
        <w:pStyle w:val="NormalWeb"/>
        <w:shd w:val="clear" w:color="auto" w:fill="FFFFFF"/>
        <w:spacing w:line="360" w:lineRule="auto"/>
        <w:rPr>
          <w:color w:val="000000"/>
        </w:rPr>
      </w:pPr>
      <w:r w:rsidRPr="00F65C6A">
        <w:t xml:space="preserve">The </w:t>
      </w:r>
      <w:r w:rsidR="009B3EB1">
        <w:t xml:space="preserve">national body with responsibility for research and research funding is the </w:t>
      </w:r>
      <w:r w:rsidRPr="00F65C6A">
        <w:t>Australia</w:t>
      </w:r>
      <w:r w:rsidR="009B3EB1">
        <w:t>n Research Council (the 'ARC'), e</w:t>
      </w:r>
      <w:r w:rsidRPr="00F65C6A">
        <w:t xml:space="preserve">stablished by the (CTH) </w:t>
      </w:r>
      <w:r w:rsidRPr="00F65C6A">
        <w:rPr>
          <w:i/>
        </w:rPr>
        <w:t>Australian Research Council Act 2001</w:t>
      </w:r>
      <w:r w:rsidRPr="00F65C6A">
        <w:t xml:space="preserve"> as a statutory authority under the control of the Minister. </w:t>
      </w:r>
      <w:r w:rsidRPr="00F65C6A">
        <w:rPr>
          <w:vertAlign w:val="superscript"/>
        </w:rPr>
        <w:t xml:space="preserve"> </w:t>
      </w:r>
      <w:r w:rsidRPr="00F65C6A">
        <w:rPr>
          <w:color w:val="000000"/>
        </w:rPr>
        <w:t xml:space="preserve">The ARC is </w:t>
      </w:r>
      <w:r>
        <w:rPr>
          <w:color w:val="000000"/>
        </w:rPr>
        <w:t>now within the portfolio of</w:t>
      </w:r>
      <w:r w:rsidRPr="00F65C6A">
        <w:rPr>
          <w:color w:val="000000"/>
        </w:rPr>
        <w:t xml:space="preserve"> Industry, Innovation, Science, Rese</w:t>
      </w:r>
      <w:r w:rsidR="00A52EF3">
        <w:rPr>
          <w:color w:val="000000"/>
        </w:rPr>
        <w:t>arch and Tertiary Education (</w:t>
      </w:r>
      <w:r w:rsidR="009B3EB1">
        <w:rPr>
          <w:color w:val="000000"/>
        </w:rPr>
        <w:t>D</w:t>
      </w:r>
      <w:r w:rsidR="00A52EF3" w:rsidRPr="00A52EF3">
        <w:rPr>
          <w:color w:val="000000"/>
        </w:rPr>
        <w:t>II</w:t>
      </w:r>
      <w:r w:rsidR="009B3EB1">
        <w:rPr>
          <w:color w:val="000000"/>
        </w:rPr>
        <w:t>S</w:t>
      </w:r>
      <w:r w:rsidR="00A52EF3" w:rsidRPr="00A52EF3">
        <w:rPr>
          <w:color w:val="000000"/>
        </w:rPr>
        <w:t>RT</w:t>
      </w:r>
      <w:r w:rsidR="009B3EB1">
        <w:rPr>
          <w:color w:val="000000"/>
        </w:rPr>
        <w:t>E</w:t>
      </w:r>
      <w:r w:rsidR="00A52EF3">
        <w:rPr>
          <w:color w:val="000000"/>
        </w:rPr>
        <w:t xml:space="preserve"> or Innovation</w:t>
      </w:r>
      <w:r w:rsidRPr="00F65C6A">
        <w:rPr>
          <w:color w:val="000000"/>
        </w:rPr>
        <w:t xml:space="preserve">) within the </w:t>
      </w:r>
      <w:r>
        <w:rPr>
          <w:color w:val="000000"/>
        </w:rPr>
        <w:t xml:space="preserve">Commonwealth </w:t>
      </w:r>
      <w:r w:rsidRPr="00F65C6A">
        <w:rPr>
          <w:color w:val="000000"/>
        </w:rPr>
        <w:t xml:space="preserve">Government. Its mission is </w:t>
      </w:r>
      <w:r w:rsidRPr="00F65C6A">
        <w:rPr>
          <w:rStyle w:val="Emphasis"/>
          <w:color w:val="000000"/>
        </w:rPr>
        <w:t>to deliver policy and programs that advance Australian research and innovation globally and benefit the community</w:t>
      </w:r>
      <w:r w:rsidRPr="00F65C6A">
        <w:rPr>
          <w:color w:val="000000"/>
        </w:rPr>
        <w:t>.</w:t>
      </w:r>
      <w:r>
        <w:rPr>
          <w:color w:val="000000"/>
        </w:rPr>
        <w:t xml:space="preserve">  </w:t>
      </w:r>
      <w:r w:rsidRPr="00F65C6A">
        <w:rPr>
          <w:color w:val="000000"/>
        </w:rPr>
        <w:t>In seeking to achieve its mission, the ARC provides advice to the</w:t>
      </w:r>
      <w:r w:rsidR="00327890">
        <w:rPr>
          <w:color w:val="000000"/>
        </w:rPr>
        <w:t xml:space="preserve"> Government on research matters.</w:t>
      </w:r>
    </w:p>
    <w:p w:rsidR="00EE6B67" w:rsidRDefault="006E2530" w:rsidP="003D7CA6">
      <w:pPr>
        <w:pStyle w:val="NormalWeb"/>
        <w:shd w:val="clear" w:color="auto" w:fill="FFFFFF"/>
        <w:spacing w:line="360" w:lineRule="auto"/>
        <w:rPr>
          <w:color w:val="000000"/>
        </w:rPr>
      </w:pPr>
      <w:r>
        <w:rPr>
          <w:color w:val="000000"/>
        </w:rPr>
        <w:t>.</w:t>
      </w:r>
      <w:r w:rsidR="00CE57CD" w:rsidRPr="00F65C6A">
        <w:t xml:space="preserve">Since 2010 the ARC has administered </w:t>
      </w:r>
      <w:r w:rsidR="00CE57CD" w:rsidRPr="00F65C6A">
        <w:rPr>
          <w:color w:val="000000"/>
        </w:rPr>
        <w:t>Excellence in</w:t>
      </w:r>
      <w:r w:rsidR="00A52EF3">
        <w:rPr>
          <w:color w:val="000000"/>
        </w:rPr>
        <w:t xml:space="preserve"> Research for Australia (ERA) which </w:t>
      </w:r>
      <w:r w:rsidR="00CE57CD" w:rsidRPr="00F65C6A">
        <w:rPr>
          <w:color w:val="000000"/>
        </w:rPr>
        <w:t>assesses research quality within Australia'</w:t>
      </w:r>
      <w:r w:rsidR="00501866">
        <w:rPr>
          <w:color w:val="000000"/>
        </w:rPr>
        <w:t>s higher education institutions, and is based on a qualitative analysis based on research impact.</w:t>
      </w:r>
      <w:r w:rsidR="00CE57CD" w:rsidRPr="00F65C6A">
        <w:rPr>
          <w:color w:val="000000"/>
        </w:rPr>
        <w:t xml:space="preserve"> </w:t>
      </w:r>
      <w:r w:rsidR="00CE57CD">
        <w:rPr>
          <w:color w:val="000000"/>
        </w:rPr>
        <w:t>It</w:t>
      </w:r>
      <w:r w:rsidR="00B950D9">
        <w:rPr>
          <w:color w:val="000000"/>
        </w:rPr>
        <w:t>s stated</w:t>
      </w:r>
      <w:r w:rsidR="00CE57CD">
        <w:rPr>
          <w:color w:val="000000"/>
        </w:rPr>
        <w:t xml:space="preserve"> aims </w:t>
      </w:r>
      <w:r w:rsidR="00B950D9">
        <w:rPr>
          <w:color w:val="000000"/>
        </w:rPr>
        <w:t xml:space="preserve">are </w:t>
      </w:r>
      <w:r w:rsidR="00CE57CD">
        <w:rPr>
          <w:color w:val="000000"/>
        </w:rPr>
        <w:t>to give</w:t>
      </w:r>
      <w:r w:rsidR="00CE57CD" w:rsidRPr="00F65C6A">
        <w:rPr>
          <w:color w:val="000000"/>
        </w:rPr>
        <w:t xml:space="preserve"> government, industry, business and the wider community assurance of the excell</w:t>
      </w:r>
      <w:r w:rsidR="00B950D9">
        <w:rPr>
          <w:color w:val="000000"/>
        </w:rPr>
        <w:t>ence of research conducted, and also</w:t>
      </w:r>
      <w:r w:rsidR="00CE57CD" w:rsidRPr="00F65C6A">
        <w:rPr>
          <w:color w:val="000000"/>
        </w:rPr>
        <w:t xml:space="preserve"> </w:t>
      </w:r>
      <w:r w:rsidR="00B950D9">
        <w:rPr>
          <w:color w:val="000000"/>
        </w:rPr>
        <w:t>to provide</w:t>
      </w:r>
      <w:r w:rsidR="00CE57CD" w:rsidRPr="00F65C6A">
        <w:rPr>
          <w:color w:val="000000"/>
        </w:rPr>
        <w:t xml:space="preserve"> a national </w:t>
      </w:r>
      <w:proofErr w:type="spellStart"/>
      <w:r w:rsidR="00CE57CD" w:rsidRPr="00F65C6A">
        <w:rPr>
          <w:color w:val="000000"/>
        </w:rPr>
        <w:t>stocktake</w:t>
      </w:r>
      <w:proofErr w:type="spellEnd"/>
      <w:r w:rsidR="00CE57CD" w:rsidRPr="00F65C6A">
        <w:rPr>
          <w:color w:val="000000"/>
        </w:rPr>
        <w:t xml:space="preserve">, by research discipline areas, of research strength against international benchmarks.  </w:t>
      </w:r>
      <w:r w:rsidR="00EE6B67">
        <w:rPr>
          <w:color w:val="000000"/>
        </w:rPr>
        <w:t>The sector is suspicious as to the true agenda, and as it moves towards the release of the latest ERA results, the government releases ‘snippets’ which indicate this suspicion is not totally unfounded.</w:t>
      </w:r>
    </w:p>
    <w:p w:rsidR="00EE6B67" w:rsidRDefault="00CE57CD" w:rsidP="002E281B">
      <w:pPr>
        <w:spacing w:line="360" w:lineRule="auto"/>
        <w:rPr>
          <w:rFonts w:ascii="Times New Roman" w:hAnsi="Times New Roman" w:cs="Times New Roman"/>
          <w:color w:val="000000"/>
          <w:sz w:val="24"/>
          <w:szCs w:val="24"/>
        </w:rPr>
      </w:pPr>
      <w:r w:rsidRPr="00F65C6A">
        <w:rPr>
          <w:rFonts w:ascii="Times New Roman" w:hAnsi="Times New Roman" w:cs="Times New Roman"/>
          <w:color w:val="000000"/>
          <w:sz w:val="24"/>
          <w:szCs w:val="24"/>
        </w:rPr>
        <w:t xml:space="preserve">Initially in undertaking this assessment </w:t>
      </w:r>
      <w:r>
        <w:rPr>
          <w:rFonts w:ascii="Times New Roman" w:hAnsi="Times New Roman" w:cs="Times New Roman"/>
          <w:color w:val="000000"/>
          <w:sz w:val="24"/>
          <w:szCs w:val="24"/>
        </w:rPr>
        <w:t>and with a stated</w:t>
      </w:r>
      <w:r w:rsidRPr="00F65C6A">
        <w:rPr>
          <w:rFonts w:ascii="Times New Roman" w:hAnsi="Times New Roman" w:cs="Times New Roman"/>
          <w:color w:val="000000"/>
          <w:sz w:val="24"/>
          <w:szCs w:val="24"/>
        </w:rPr>
        <w:t xml:space="preserve"> emphasis on research impact, the ERA publications </w:t>
      </w:r>
      <w:r w:rsidR="00CF098E">
        <w:rPr>
          <w:rFonts w:ascii="Times New Roman" w:hAnsi="Times New Roman" w:cs="Times New Roman"/>
          <w:color w:val="000000"/>
          <w:sz w:val="24"/>
          <w:szCs w:val="24"/>
        </w:rPr>
        <w:t xml:space="preserve">were assessed </w:t>
      </w:r>
      <w:r w:rsidR="003D7CA6">
        <w:rPr>
          <w:rFonts w:ascii="Times New Roman" w:hAnsi="Times New Roman" w:cs="Times New Roman"/>
          <w:color w:val="000000"/>
          <w:sz w:val="24"/>
          <w:szCs w:val="24"/>
        </w:rPr>
        <w:t xml:space="preserve">on a quantitative basis, </w:t>
      </w:r>
      <w:r w:rsidR="00CF098E">
        <w:rPr>
          <w:rFonts w:ascii="Times New Roman" w:hAnsi="Times New Roman" w:cs="Times New Roman"/>
          <w:color w:val="000000"/>
          <w:sz w:val="24"/>
          <w:szCs w:val="24"/>
        </w:rPr>
        <w:t xml:space="preserve">in relation to a </w:t>
      </w:r>
      <w:r w:rsidRPr="00F65C6A">
        <w:rPr>
          <w:rFonts w:ascii="Times New Roman" w:hAnsi="Times New Roman" w:cs="Times New Roman"/>
          <w:color w:val="000000"/>
          <w:sz w:val="24"/>
          <w:szCs w:val="24"/>
        </w:rPr>
        <w:t xml:space="preserve">list of journal rankings.  The first ERA round was conducted in </w:t>
      </w:r>
      <w:r>
        <w:rPr>
          <w:rFonts w:ascii="Times New Roman" w:hAnsi="Times New Roman" w:cs="Times New Roman"/>
          <w:color w:val="000000"/>
          <w:sz w:val="24"/>
          <w:szCs w:val="24"/>
        </w:rPr>
        <w:t xml:space="preserve">this way in </w:t>
      </w:r>
      <w:r w:rsidRPr="00F65C6A">
        <w:rPr>
          <w:rFonts w:ascii="Times New Roman" w:hAnsi="Times New Roman" w:cs="Times New Roman"/>
          <w:color w:val="000000"/>
          <w:sz w:val="24"/>
          <w:szCs w:val="24"/>
        </w:rPr>
        <w:t xml:space="preserve">2010.  Before the second round in 2012, the ERA announced that these rankings would be abandoned and instead the quality of research would be measured using a combination of indicators and expert review by committees comprising experienced, internationally-recognised experts.  </w:t>
      </w:r>
      <w:r w:rsidR="00501866">
        <w:rPr>
          <w:rFonts w:ascii="Times New Roman" w:hAnsi="Times New Roman" w:cs="Times New Roman"/>
          <w:color w:val="000000"/>
          <w:sz w:val="24"/>
          <w:szCs w:val="24"/>
        </w:rPr>
        <w:t xml:space="preserve"> </w:t>
      </w:r>
      <w:r w:rsidR="003D7CA6">
        <w:rPr>
          <w:rFonts w:ascii="Times New Roman" w:hAnsi="Times New Roman" w:cs="Times New Roman"/>
          <w:color w:val="000000"/>
          <w:sz w:val="24"/>
          <w:szCs w:val="24"/>
        </w:rPr>
        <w:t xml:space="preserve">Who this will be and how it will operate is unclear.  </w:t>
      </w:r>
      <w:r w:rsidR="00EE6B67">
        <w:rPr>
          <w:rFonts w:ascii="Times New Roman" w:hAnsi="Times New Roman" w:cs="Times New Roman"/>
          <w:color w:val="000000"/>
          <w:sz w:val="24"/>
          <w:szCs w:val="24"/>
        </w:rPr>
        <w:t xml:space="preserve">This method is welcomed by the GO8 universities with robust research histories, but it </w:t>
      </w:r>
      <w:r w:rsidR="003D7CA6">
        <w:rPr>
          <w:rFonts w:ascii="Times New Roman" w:hAnsi="Times New Roman" w:cs="Times New Roman"/>
          <w:color w:val="000000"/>
          <w:sz w:val="24"/>
          <w:szCs w:val="24"/>
        </w:rPr>
        <w:t>can only tend</w:t>
      </w:r>
      <w:r w:rsidR="00EE6B67">
        <w:rPr>
          <w:rFonts w:ascii="Times New Roman" w:hAnsi="Times New Roman" w:cs="Times New Roman"/>
          <w:color w:val="000000"/>
          <w:sz w:val="24"/>
          <w:szCs w:val="24"/>
        </w:rPr>
        <w:t xml:space="preserve"> to disadvantage the new universities, such as the ATN, group with developing </w:t>
      </w:r>
      <w:r w:rsidR="00C52EF4">
        <w:rPr>
          <w:rFonts w:ascii="Times New Roman" w:hAnsi="Times New Roman" w:cs="Times New Roman"/>
          <w:color w:val="000000"/>
          <w:sz w:val="24"/>
          <w:szCs w:val="24"/>
        </w:rPr>
        <w:t xml:space="preserve">research </w:t>
      </w:r>
      <w:r w:rsidR="00EE6B67">
        <w:rPr>
          <w:rFonts w:ascii="Times New Roman" w:hAnsi="Times New Roman" w:cs="Times New Roman"/>
          <w:color w:val="000000"/>
          <w:sz w:val="24"/>
          <w:szCs w:val="24"/>
        </w:rPr>
        <w:t xml:space="preserve">cultures.   </w:t>
      </w:r>
    </w:p>
    <w:p w:rsidR="00501866" w:rsidRDefault="00C52EF4" w:rsidP="002E281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Part of the</w:t>
      </w:r>
      <w:r w:rsidR="00501866">
        <w:rPr>
          <w:rFonts w:ascii="Times New Roman" w:hAnsi="Times New Roman" w:cs="Times New Roman"/>
          <w:color w:val="000000"/>
          <w:sz w:val="24"/>
          <w:szCs w:val="24"/>
        </w:rPr>
        <w:t xml:space="preserve"> process is an Excellence in Research Impact trial.  </w:t>
      </w:r>
      <w:r w:rsidR="00B950D9">
        <w:rPr>
          <w:rFonts w:ascii="Times New Roman" w:hAnsi="Times New Roman" w:cs="Times New Roman"/>
          <w:color w:val="000000"/>
          <w:sz w:val="24"/>
          <w:szCs w:val="24"/>
        </w:rPr>
        <w:t>In March 2011 the Minister for Innovation, Industry, Science and Research announced that ERA outcomes would inform the funding of research education through a ‘modified Research Training Scheme’.</w:t>
      </w:r>
      <w:r w:rsidR="00B950D9">
        <w:rPr>
          <w:rStyle w:val="FootnoteReference"/>
          <w:color w:val="000000"/>
          <w:sz w:val="24"/>
          <w:szCs w:val="24"/>
        </w:rPr>
        <w:footnoteReference w:id="75"/>
      </w:r>
      <w:r w:rsidR="00501866">
        <w:rPr>
          <w:rFonts w:ascii="Times New Roman" w:hAnsi="Times New Roman" w:cs="Times New Roman"/>
          <w:color w:val="000000"/>
          <w:sz w:val="24"/>
          <w:szCs w:val="24"/>
        </w:rPr>
        <w:t xml:space="preserve"> The fear is that the sector is heading in a direction where the government is ‘micro-managing’ a university’s activities through placing much greater constraints on the funding of higher research degrees.  It may be that following the release of the results of the recently undertaken ERA round the government may provide that unless a particular discipline in a university achieved a certain level, it will not be funded for HDR students in that area.</w:t>
      </w:r>
    </w:p>
    <w:p w:rsidR="0032019B" w:rsidRDefault="0032019B" w:rsidP="002E281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sector awaits a f</w:t>
      </w:r>
      <w:r w:rsidR="00937AC3">
        <w:rPr>
          <w:rFonts w:ascii="Times New Roman" w:hAnsi="Times New Roman" w:cs="Times New Roman"/>
          <w:color w:val="000000"/>
          <w:sz w:val="24"/>
          <w:szCs w:val="24"/>
        </w:rPr>
        <w:t>ormula</w:t>
      </w:r>
      <w:r>
        <w:rPr>
          <w:rFonts w:ascii="Times New Roman" w:hAnsi="Times New Roman" w:cs="Times New Roman"/>
          <w:color w:val="000000"/>
          <w:sz w:val="24"/>
          <w:szCs w:val="24"/>
        </w:rPr>
        <w:t>tion of the Research Standards and can only speculate on what direction they will take.</w:t>
      </w:r>
    </w:p>
    <w:p w:rsidR="00731F04" w:rsidRDefault="00731F04" w:rsidP="002E281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discussed above</w:t>
      </w:r>
      <w:r w:rsidR="009C0308">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position in relation to international education in Australia</w:t>
      </w:r>
      <w:r w:rsidR="009C0308">
        <w:rPr>
          <w:rFonts w:ascii="Times New Roman" w:hAnsi="Times New Roman" w:cs="Times New Roman"/>
          <w:color w:val="000000"/>
          <w:sz w:val="24"/>
          <w:szCs w:val="24"/>
        </w:rPr>
        <w:t xml:space="preserve"> particularly concern as to its reputation abroad as a provider of education of a high quality and standard,</w:t>
      </w:r>
      <w:r>
        <w:rPr>
          <w:rFonts w:ascii="Times New Roman" w:hAnsi="Times New Roman" w:cs="Times New Roman"/>
          <w:color w:val="000000"/>
          <w:sz w:val="24"/>
          <w:szCs w:val="24"/>
        </w:rPr>
        <w:t xml:space="preserve"> was </w:t>
      </w:r>
      <w:r w:rsidR="009C0308">
        <w:rPr>
          <w:rFonts w:ascii="Times New Roman" w:hAnsi="Times New Roman" w:cs="Times New Roman"/>
          <w:color w:val="000000"/>
          <w:sz w:val="24"/>
          <w:szCs w:val="24"/>
        </w:rPr>
        <w:t xml:space="preserve">one of the most </w:t>
      </w:r>
      <w:r>
        <w:rPr>
          <w:rFonts w:ascii="Times New Roman" w:hAnsi="Times New Roman" w:cs="Times New Roman"/>
          <w:color w:val="000000"/>
          <w:sz w:val="24"/>
          <w:szCs w:val="24"/>
        </w:rPr>
        <w:t>significant factor</w:t>
      </w:r>
      <w:r w:rsidR="009C0308">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precipitating reform of the sector</w:t>
      </w:r>
      <w:r w:rsidR="009C0308">
        <w:rPr>
          <w:rFonts w:ascii="Times New Roman" w:hAnsi="Times New Roman" w:cs="Times New Roman"/>
          <w:color w:val="000000"/>
          <w:sz w:val="24"/>
          <w:szCs w:val="24"/>
        </w:rPr>
        <w:t>.</w:t>
      </w:r>
    </w:p>
    <w:p w:rsidR="00731F04" w:rsidRPr="003D7CA6" w:rsidRDefault="00731F04" w:rsidP="002E281B">
      <w:pPr>
        <w:spacing w:line="360" w:lineRule="auto"/>
        <w:rPr>
          <w:rFonts w:ascii="Times New Roman" w:hAnsi="Times New Roman" w:cs="Times New Roman"/>
          <w:sz w:val="24"/>
          <w:szCs w:val="24"/>
          <w:vertAlign w:val="superscript"/>
        </w:rPr>
        <w:sectPr w:rsidR="00731F04" w:rsidRPr="003D7CA6">
          <w:headerReference w:type="default" r:id="rId13"/>
          <w:type w:val="continuous"/>
          <w:pgSz w:w="12240" w:h="15840"/>
          <w:pgMar w:top="1728" w:right="1296" w:bottom="1296" w:left="1296" w:header="720" w:footer="720" w:gutter="0"/>
          <w:cols w:space="720"/>
        </w:sectPr>
      </w:pPr>
    </w:p>
    <w:p w:rsidR="00731F04" w:rsidRDefault="00731F04" w:rsidP="00731F04">
      <w:pPr>
        <w:spacing w:line="360" w:lineRule="auto"/>
        <w:rPr>
          <w:rFonts w:ascii="Times New Roman" w:hAnsi="Times New Roman" w:cs="Times New Roman"/>
          <w:b/>
          <w:bCs/>
          <w:sz w:val="24"/>
          <w:szCs w:val="24"/>
        </w:rPr>
      </w:pPr>
      <w:r w:rsidRPr="00B6620A">
        <w:rPr>
          <w:rFonts w:ascii="Times New Roman" w:hAnsi="Times New Roman" w:cs="Times New Roman"/>
          <w:b/>
          <w:bCs/>
          <w:sz w:val="24"/>
          <w:szCs w:val="24"/>
        </w:rPr>
        <w:t>International Education</w:t>
      </w:r>
      <w:r w:rsidR="00DC1A75">
        <w:rPr>
          <w:rFonts w:ascii="Times New Roman" w:hAnsi="Times New Roman" w:cs="Times New Roman"/>
          <w:b/>
          <w:bCs/>
          <w:sz w:val="24"/>
          <w:szCs w:val="24"/>
        </w:rPr>
        <w:t xml:space="preserve"> – Australia as a quality education destination</w:t>
      </w:r>
    </w:p>
    <w:p w:rsidR="00731F04" w:rsidRPr="00417055" w:rsidRDefault="00731F04" w:rsidP="00731F04">
      <w:pPr>
        <w:spacing w:line="240" w:lineRule="auto"/>
        <w:ind w:left="851" w:right="2277"/>
        <w:rPr>
          <w:rFonts w:ascii="Times New Roman" w:hAnsi="Times New Roman" w:cs="Times New Roman"/>
          <w:b/>
          <w:bCs/>
          <w:sz w:val="20"/>
          <w:szCs w:val="20"/>
        </w:rPr>
      </w:pPr>
      <w:r w:rsidRPr="00417055">
        <w:rPr>
          <w:rFonts w:ascii="Times New Roman" w:hAnsi="Times New Roman" w:cs="Times New Roman"/>
          <w:sz w:val="20"/>
          <w:szCs w:val="20"/>
        </w:rPr>
        <w:t>Between 2008 and 2011, more than 400,000 international students a year have studied in Australia on student visas, with the large majority choosing to study in Australia because of Australia’s reputation as a safe, high quality education destination</w:t>
      </w:r>
      <w:r w:rsidRPr="00417055">
        <w:rPr>
          <w:sz w:val="20"/>
          <w:szCs w:val="20"/>
        </w:rPr>
        <w:t>.</w:t>
      </w:r>
      <w:r w:rsidRPr="00417055">
        <w:rPr>
          <w:rStyle w:val="FootnoteReference"/>
          <w:sz w:val="20"/>
          <w:szCs w:val="20"/>
        </w:rPr>
        <w:footnoteReference w:id="76"/>
      </w:r>
      <w:r w:rsidRPr="00417055">
        <w:rPr>
          <w:sz w:val="20"/>
          <w:szCs w:val="20"/>
        </w:rPr>
        <w:t xml:space="preserve">  </w:t>
      </w:r>
    </w:p>
    <w:p w:rsidR="00731F04" w:rsidRDefault="00731F04" w:rsidP="00731F04">
      <w:pPr>
        <w:spacing w:line="360" w:lineRule="auto"/>
        <w:rPr>
          <w:rFonts w:ascii="Times New Roman" w:hAnsi="Times New Roman" w:cs="Times New Roman"/>
          <w:sz w:val="24"/>
          <w:szCs w:val="24"/>
        </w:rPr>
      </w:pPr>
      <w:r>
        <w:rPr>
          <w:rFonts w:ascii="Times New Roman" w:hAnsi="Times New Roman" w:cs="Times New Roman"/>
          <w:sz w:val="24"/>
          <w:szCs w:val="24"/>
        </w:rPr>
        <w:t>In line with other jurisdictions such as the UK, the US and New Zealand, Australia has many thousands of international students studying across all sectors of education and they represent a significant source of funds for Australian universities.</w:t>
      </w:r>
      <w:r w:rsidR="00D56ABB">
        <w:rPr>
          <w:rStyle w:val="FootnoteReference"/>
          <w:sz w:val="24"/>
          <w:szCs w:val="24"/>
        </w:rPr>
        <w:footnoteReference w:id="77"/>
      </w:r>
      <w:r>
        <w:rPr>
          <w:rFonts w:ascii="Times New Roman" w:hAnsi="Times New Roman" w:cs="Times New Roman"/>
          <w:sz w:val="24"/>
          <w:szCs w:val="24"/>
        </w:rPr>
        <w:t xml:space="preserve"> </w:t>
      </w:r>
      <w:r w:rsidR="009C0308">
        <w:rPr>
          <w:rFonts w:ascii="Times New Roman" w:hAnsi="Times New Roman" w:cs="Times New Roman"/>
          <w:sz w:val="24"/>
          <w:szCs w:val="24"/>
        </w:rPr>
        <w:t xml:space="preserve"> T</w:t>
      </w:r>
      <w:r>
        <w:rPr>
          <w:rFonts w:ascii="Times New Roman" w:hAnsi="Times New Roman" w:cs="Times New Roman"/>
          <w:sz w:val="24"/>
          <w:szCs w:val="24"/>
        </w:rPr>
        <w:t>he dependency of universities and the government on the income from international students has significant potential to impact upon quality.  The Victorian Ombudsperson has also noted concern about revenue pressures:</w:t>
      </w:r>
      <w:r>
        <w:rPr>
          <w:rStyle w:val="FootnoteReference"/>
          <w:sz w:val="24"/>
          <w:szCs w:val="24"/>
        </w:rPr>
        <w:footnoteReference w:id="78"/>
      </w:r>
    </w:p>
    <w:p w:rsidR="00731F04" w:rsidRPr="009334D5" w:rsidRDefault="00731F04" w:rsidP="00731F04">
      <w:pPr>
        <w:spacing w:line="240" w:lineRule="auto"/>
        <w:ind w:left="851" w:right="2277"/>
        <w:rPr>
          <w:rFonts w:ascii="Times New Roman" w:hAnsi="Times New Roman" w:cs="Times New Roman"/>
          <w:sz w:val="20"/>
          <w:szCs w:val="20"/>
        </w:rPr>
      </w:pPr>
      <w:r w:rsidRPr="009334D5">
        <w:rPr>
          <w:rFonts w:ascii="Times New Roman" w:hAnsi="Times New Roman" w:cs="Times New Roman"/>
          <w:sz w:val="20"/>
          <w:szCs w:val="20"/>
        </w:rPr>
        <w:t>While the ideal of universities as independent centres of teaching and research remains important, they are not well place to self-regulate their dealings with international students when they are competing for those students and are reliant on them for a large part of their revenue</w:t>
      </w:r>
    </w:p>
    <w:p w:rsidR="00C92417" w:rsidRPr="00C92417" w:rsidRDefault="00731F04" w:rsidP="00C92417">
      <w:pPr>
        <w:pStyle w:val="NormalWeb"/>
        <w:shd w:val="clear" w:color="auto" w:fill="FFFFFF"/>
        <w:spacing w:line="360" w:lineRule="auto"/>
        <w:rPr>
          <w:color w:val="282828"/>
        </w:rPr>
      </w:pPr>
      <w:r w:rsidRPr="00B6620A">
        <w:t>Commonwealth legislation provides the framework for the export of education services and training by providing for the registration of all higher education institutions that accept fee-paying overseas students.</w:t>
      </w:r>
      <w:r>
        <w:t xml:space="preserve">  </w:t>
      </w:r>
      <w:r w:rsidRPr="00B6620A">
        <w:t>All providers of education services to overseas students are not only bound by the provisions of the (CTH</w:t>
      </w:r>
      <w:r w:rsidRPr="00511AC2">
        <w:rPr>
          <w:i/>
        </w:rPr>
        <w:t>) Education Services to Overseas Students Act 2000</w:t>
      </w:r>
      <w:r w:rsidRPr="00B6620A">
        <w:t xml:space="preserve">, the regulations made pursuant to that Act and equivalent State and Territory legislation, but they are also bound by the National Code of Practice for Registration Authorities and Providers of Education and Training to Overseas Students 2001 (The </w:t>
      </w:r>
      <w:r>
        <w:t xml:space="preserve">ESOS </w:t>
      </w:r>
      <w:r w:rsidRPr="00B6620A">
        <w:t xml:space="preserve">Code 2007).  Under Part C of the </w:t>
      </w:r>
      <w:r>
        <w:t xml:space="preserve">ESOS </w:t>
      </w:r>
      <w:r w:rsidRPr="00B6620A">
        <w:t>Code, all providers must be registered with CRICOS.</w:t>
      </w:r>
      <w:r>
        <w:rPr>
          <w:rStyle w:val="FootnoteReference"/>
        </w:rPr>
        <w:footnoteReference w:id="79"/>
      </w:r>
      <w:r w:rsidRPr="00B6620A">
        <w:t xml:space="preserve">  The </w:t>
      </w:r>
      <w:r>
        <w:t xml:space="preserve">Code </w:t>
      </w:r>
      <w:r w:rsidRPr="00B6620A">
        <w:t>provides a set of standards to registered providers which set out the obligations in delivering education and training to overseas students.  These must be met at the time of CRICOS registration and throughout the registration period.   The Code recognises the particular position of the overseas student in respect of complaints relating to courses, because of migration controls which may lead to an inability to stay in Australia to pursue appeals and remedies in respect of complaints and grievances relating to courses.  Standard 8 provides that registered providers’ complaints and appeals processes must be independent, easily and immediately accessible and inexpensive for the parties involved.  In addition the provider must have arrangements in place for an independent body to hear complaints and appeals arising from the provider’s internal processes, and the student must be advised of these arrangements</w:t>
      </w:r>
      <w:r w:rsidRPr="00C92417">
        <w:t>.</w:t>
      </w:r>
      <w:r w:rsidRPr="00C92417">
        <w:rPr>
          <w:rStyle w:val="FootnoteReference"/>
        </w:rPr>
        <w:footnoteReference w:id="80"/>
      </w:r>
      <w:r w:rsidRPr="00C92417">
        <w:t xml:space="preserve">  </w:t>
      </w:r>
      <w:r w:rsidR="00C92417" w:rsidRPr="00C92417">
        <w:t>O</w:t>
      </w:r>
      <w:r w:rsidR="00C92417" w:rsidRPr="00C92417">
        <w:rPr>
          <w:color w:val="282828"/>
        </w:rPr>
        <w:t xml:space="preserve">n 1 July 2012 TEQSA assumed full responsibility for registration, compliance and monitoring functions under the ESOS Act. </w:t>
      </w:r>
    </w:p>
    <w:p w:rsidR="009C0308" w:rsidRDefault="00731F04" w:rsidP="009C0308">
      <w:pPr>
        <w:autoSpaceDE w:val="0"/>
        <w:autoSpaceDN w:val="0"/>
        <w:adjustRightInd w:val="0"/>
        <w:spacing w:after="0" w:line="360" w:lineRule="auto"/>
        <w:rPr>
          <w:rFonts w:ascii="Times New Roman" w:hAnsi="Times New Roman" w:cs="Times New Roman"/>
          <w:sz w:val="24"/>
          <w:szCs w:val="24"/>
        </w:rPr>
      </w:pPr>
      <w:r w:rsidRPr="00B6620A">
        <w:rPr>
          <w:rFonts w:ascii="Times New Roman" w:hAnsi="Times New Roman" w:cs="Times New Roman"/>
          <w:sz w:val="24"/>
          <w:szCs w:val="24"/>
        </w:rPr>
        <w:t>Complaints by overseas students against their education services provider may</w:t>
      </w:r>
      <w:r>
        <w:rPr>
          <w:rFonts w:ascii="Times New Roman" w:hAnsi="Times New Roman" w:cs="Times New Roman"/>
          <w:sz w:val="24"/>
          <w:szCs w:val="24"/>
        </w:rPr>
        <w:t xml:space="preserve"> be made</w:t>
      </w:r>
      <w:r w:rsidRPr="00B6620A">
        <w:rPr>
          <w:rFonts w:ascii="Times New Roman" w:hAnsi="Times New Roman" w:cs="Times New Roman"/>
          <w:sz w:val="24"/>
          <w:szCs w:val="24"/>
        </w:rPr>
        <w:t xml:space="preserve">, in the case of </w:t>
      </w:r>
      <w:r>
        <w:rPr>
          <w:rFonts w:ascii="Times New Roman" w:hAnsi="Times New Roman" w:cs="Times New Roman"/>
          <w:sz w:val="24"/>
          <w:szCs w:val="24"/>
        </w:rPr>
        <w:t xml:space="preserve">public </w:t>
      </w:r>
      <w:r w:rsidRPr="00B6620A">
        <w:rPr>
          <w:rFonts w:ascii="Times New Roman" w:hAnsi="Times New Roman" w:cs="Times New Roman"/>
          <w:sz w:val="24"/>
          <w:szCs w:val="24"/>
        </w:rPr>
        <w:t>universities, to the State or Territory Ombudsman, or in the case of ACT institutions to the Commonwealth Ombudsman.</w:t>
      </w:r>
      <w:r w:rsidR="009C0308">
        <w:rPr>
          <w:rFonts w:ascii="Times New Roman" w:hAnsi="Times New Roman" w:cs="Times New Roman"/>
          <w:sz w:val="24"/>
          <w:szCs w:val="24"/>
        </w:rPr>
        <w:t xml:space="preserve">  </w:t>
      </w:r>
      <w:r w:rsidR="009C0308" w:rsidRPr="00B6620A">
        <w:rPr>
          <w:rFonts w:ascii="Times New Roman" w:hAnsi="Times New Roman" w:cs="Times New Roman"/>
          <w:sz w:val="24"/>
          <w:szCs w:val="24"/>
        </w:rPr>
        <w:t xml:space="preserve">In 2011 the (CTH) </w:t>
      </w:r>
      <w:r w:rsidR="009C0308" w:rsidRPr="00511AC2">
        <w:rPr>
          <w:rFonts w:ascii="Times New Roman" w:hAnsi="Times New Roman" w:cs="Times New Roman"/>
          <w:i/>
          <w:sz w:val="24"/>
          <w:szCs w:val="24"/>
        </w:rPr>
        <w:t>Ombudsman Act 1976</w:t>
      </w:r>
      <w:r w:rsidR="009C0308" w:rsidRPr="00B6620A">
        <w:rPr>
          <w:rFonts w:ascii="Times New Roman" w:hAnsi="Times New Roman" w:cs="Times New Roman"/>
          <w:sz w:val="24"/>
          <w:szCs w:val="24"/>
        </w:rPr>
        <w:t xml:space="preserve"> was amended to establish an Overseas Students Ombudsman within that office.</w:t>
      </w:r>
      <w:r w:rsidR="009C0308">
        <w:rPr>
          <w:rStyle w:val="FootnoteReference"/>
          <w:sz w:val="24"/>
          <w:szCs w:val="24"/>
        </w:rPr>
        <w:footnoteReference w:id="81"/>
      </w:r>
      <w:r w:rsidR="009C0308" w:rsidRPr="00B6620A">
        <w:rPr>
          <w:rFonts w:ascii="Times New Roman" w:hAnsi="Times New Roman" w:cs="Times New Roman"/>
          <w:sz w:val="24"/>
          <w:szCs w:val="24"/>
        </w:rPr>
        <w:t xml:space="preserve"> </w:t>
      </w:r>
      <w:r w:rsidR="009C0308">
        <w:rPr>
          <w:rFonts w:ascii="Times New Roman" w:hAnsi="Times New Roman" w:cs="Times New Roman"/>
          <w:sz w:val="24"/>
          <w:szCs w:val="24"/>
        </w:rPr>
        <w:t xml:space="preserve"> However, t</w:t>
      </w:r>
      <w:r w:rsidR="009C0308" w:rsidRPr="00B6620A">
        <w:rPr>
          <w:rFonts w:ascii="Times New Roman" w:hAnsi="Times New Roman" w:cs="Times New Roman"/>
          <w:sz w:val="24"/>
          <w:szCs w:val="24"/>
        </w:rPr>
        <w:t>he Overseas Ombudsman has the power to investigate complaints of overseas students in respect of the actions of</w:t>
      </w:r>
      <w:r w:rsidR="009C0308">
        <w:rPr>
          <w:rFonts w:ascii="Times New Roman" w:hAnsi="Times New Roman" w:cs="Times New Roman"/>
          <w:sz w:val="24"/>
          <w:szCs w:val="24"/>
        </w:rPr>
        <w:t xml:space="preserve"> only</w:t>
      </w:r>
      <w:r w:rsidR="009C0308" w:rsidRPr="00B6620A">
        <w:rPr>
          <w:rFonts w:ascii="Times New Roman" w:hAnsi="Times New Roman" w:cs="Times New Roman"/>
          <w:sz w:val="24"/>
          <w:szCs w:val="24"/>
        </w:rPr>
        <w:t xml:space="preserve"> private registered providers of education services to overseas students in any Australian jur</w:t>
      </w:r>
      <w:r w:rsidR="009C0308">
        <w:rPr>
          <w:rFonts w:ascii="Times New Roman" w:hAnsi="Times New Roman" w:cs="Times New Roman"/>
          <w:sz w:val="24"/>
          <w:szCs w:val="24"/>
        </w:rPr>
        <w:t>isdiction.</w:t>
      </w:r>
      <w:r w:rsidR="009C0308">
        <w:rPr>
          <w:rStyle w:val="FootnoteReference"/>
          <w:sz w:val="24"/>
          <w:szCs w:val="24"/>
        </w:rPr>
        <w:footnoteReference w:id="82"/>
      </w:r>
      <w:r w:rsidR="009C0308" w:rsidRPr="00B6620A">
        <w:rPr>
          <w:rFonts w:ascii="Times New Roman" w:hAnsi="Times New Roman" w:cs="Times New Roman"/>
          <w:sz w:val="24"/>
          <w:szCs w:val="24"/>
        </w:rPr>
        <w:t xml:space="preserve"> The Overseas Ombudsman also has the power to give private registered providers advice and training about the best practice for handling complaints by overseas students and to investigate actions of providers on hi</w:t>
      </w:r>
      <w:r w:rsidR="009C0308">
        <w:rPr>
          <w:rFonts w:ascii="Times New Roman" w:hAnsi="Times New Roman" w:cs="Times New Roman"/>
          <w:sz w:val="24"/>
          <w:szCs w:val="24"/>
        </w:rPr>
        <w:t>s or her initiative.</w:t>
      </w:r>
      <w:r w:rsidR="009C0308">
        <w:rPr>
          <w:rStyle w:val="FootnoteReference"/>
          <w:sz w:val="24"/>
          <w:szCs w:val="24"/>
        </w:rPr>
        <w:footnoteReference w:id="83"/>
      </w:r>
      <w:r w:rsidR="009C0308">
        <w:rPr>
          <w:rFonts w:ascii="Times New Roman" w:hAnsi="Times New Roman" w:cs="Times New Roman"/>
          <w:sz w:val="24"/>
          <w:szCs w:val="24"/>
        </w:rPr>
        <w:t xml:space="preserve">  </w:t>
      </w:r>
    </w:p>
    <w:p w:rsidR="00C92417" w:rsidRDefault="00C92417" w:rsidP="00731F04">
      <w:pPr>
        <w:spacing w:line="360" w:lineRule="auto"/>
        <w:rPr>
          <w:rFonts w:ascii="Times New Roman" w:hAnsi="Times New Roman" w:cs="Times New Roman"/>
          <w:sz w:val="24"/>
          <w:szCs w:val="24"/>
        </w:rPr>
      </w:pPr>
    </w:p>
    <w:p w:rsidR="00731F04" w:rsidRDefault="00731F04" w:rsidP="00731F04">
      <w:pPr>
        <w:spacing w:line="360" w:lineRule="auto"/>
        <w:rPr>
          <w:rFonts w:ascii="Times New Roman" w:hAnsi="Times New Roman" w:cs="Times New Roman"/>
          <w:sz w:val="24"/>
          <w:szCs w:val="24"/>
        </w:rPr>
      </w:pPr>
      <w:r>
        <w:rPr>
          <w:rFonts w:ascii="Times New Roman" w:hAnsi="Times New Roman" w:cs="Times New Roman"/>
          <w:sz w:val="24"/>
          <w:szCs w:val="24"/>
        </w:rPr>
        <w:t xml:space="preserve">In recent years </w:t>
      </w:r>
      <w:r w:rsidR="00C92417">
        <w:rPr>
          <w:rFonts w:ascii="Times New Roman" w:hAnsi="Times New Roman" w:cs="Times New Roman"/>
          <w:sz w:val="24"/>
          <w:szCs w:val="24"/>
        </w:rPr>
        <w:t>factors have conspired to prevent Australia</w:t>
      </w:r>
      <w:r>
        <w:rPr>
          <w:rFonts w:ascii="Times New Roman" w:hAnsi="Times New Roman" w:cs="Times New Roman"/>
          <w:sz w:val="24"/>
          <w:szCs w:val="24"/>
        </w:rPr>
        <w:t xml:space="preserve"> from consolidating and building on its attractiveness as a destination for study by overseas students.</w:t>
      </w:r>
      <w:r w:rsidRPr="00E93070">
        <w:rPr>
          <w:rStyle w:val="FootnoteReference"/>
          <w:sz w:val="20"/>
          <w:szCs w:val="20"/>
        </w:rPr>
        <w:t xml:space="preserve"> </w:t>
      </w:r>
      <w:r>
        <w:rPr>
          <w:rStyle w:val="FootnoteReference"/>
          <w:sz w:val="20"/>
          <w:szCs w:val="20"/>
        </w:rPr>
        <w:footnoteReference w:id="84"/>
      </w:r>
      <w:r>
        <w:rPr>
          <w:rFonts w:ascii="Times New Roman" w:hAnsi="Times New Roman" w:cs="Times New Roman"/>
          <w:sz w:val="24"/>
          <w:szCs w:val="24"/>
        </w:rPr>
        <w:t xml:space="preserve"> </w:t>
      </w:r>
    </w:p>
    <w:p w:rsidR="00731F04" w:rsidRPr="005B2BD3" w:rsidRDefault="00731F04" w:rsidP="00731F04">
      <w:pPr>
        <w:autoSpaceDE w:val="0"/>
        <w:autoSpaceDN w:val="0"/>
        <w:adjustRightInd w:val="0"/>
        <w:spacing w:after="0" w:line="240" w:lineRule="auto"/>
        <w:ind w:left="851" w:right="2277"/>
        <w:rPr>
          <w:rFonts w:ascii="Times New Roman" w:hAnsi="Times New Roman" w:cs="Times New Roman"/>
          <w:sz w:val="20"/>
          <w:szCs w:val="20"/>
        </w:rPr>
      </w:pPr>
      <w:r w:rsidRPr="005B2BD3">
        <w:rPr>
          <w:rFonts w:ascii="Times New Roman" w:hAnsi="Times New Roman" w:cs="Times New Roman"/>
          <w:sz w:val="20"/>
          <w:szCs w:val="20"/>
        </w:rPr>
        <w:t>At its peak in 2009 there were 491,565 international students enrolled in courses in Australia. Since that time enrolments have fallen. And the numbers of new students enrolling are declining faster than the overall enrolment numbers. This is causing serious problems for the viability of the sector. A range of factors have contributed to this including increased global competition, changes to Australia’s migration settings and</w:t>
      </w:r>
      <w:r>
        <w:rPr>
          <w:rFonts w:ascii="Times New Roman" w:hAnsi="Times New Roman" w:cs="Times New Roman"/>
          <w:sz w:val="20"/>
          <w:szCs w:val="20"/>
        </w:rPr>
        <w:t xml:space="preserve"> </w:t>
      </w:r>
      <w:r w:rsidRPr="005B2BD3">
        <w:rPr>
          <w:rFonts w:ascii="Times New Roman" w:hAnsi="Times New Roman" w:cs="Times New Roman"/>
          <w:sz w:val="20"/>
          <w:szCs w:val="20"/>
        </w:rPr>
        <w:t>a rising Aussie dollar. Many in the sector refer to these, and other factors, as</w:t>
      </w:r>
      <w:r>
        <w:rPr>
          <w:rFonts w:ascii="Times New Roman" w:hAnsi="Times New Roman" w:cs="Times New Roman"/>
          <w:sz w:val="20"/>
          <w:szCs w:val="20"/>
        </w:rPr>
        <w:t xml:space="preserve"> </w:t>
      </w:r>
      <w:r w:rsidRPr="005B2BD3">
        <w:rPr>
          <w:rFonts w:ascii="Times New Roman" w:hAnsi="Times New Roman" w:cs="Times New Roman"/>
          <w:sz w:val="20"/>
          <w:szCs w:val="20"/>
        </w:rPr>
        <w:t>creating "the perfect storm".</w:t>
      </w:r>
    </w:p>
    <w:p w:rsidR="00731F04" w:rsidRDefault="00731F04" w:rsidP="00731F04">
      <w:pPr>
        <w:spacing w:line="240" w:lineRule="auto"/>
        <w:ind w:left="851" w:right="2277"/>
        <w:rPr>
          <w:rFonts w:ascii="Times New Roman" w:hAnsi="Times New Roman" w:cs="Times New Roman"/>
          <w:sz w:val="24"/>
          <w:szCs w:val="24"/>
        </w:rPr>
      </w:pPr>
    </w:p>
    <w:p w:rsidR="00731F04" w:rsidRDefault="00731F04" w:rsidP="00731F04">
      <w:pPr>
        <w:spacing w:line="360" w:lineRule="auto"/>
        <w:rPr>
          <w:rFonts w:ascii="Times New Roman" w:hAnsi="Times New Roman" w:cs="Times New Roman"/>
          <w:sz w:val="24"/>
          <w:szCs w:val="24"/>
        </w:rPr>
      </w:pPr>
      <w:r>
        <w:rPr>
          <w:rFonts w:ascii="Times New Roman" w:hAnsi="Times New Roman" w:cs="Times New Roman"/>
          <w:sz w:val="24"/>
          <w:szCs w:val="24"/>
        </w:rPr>
        <w:t>Issues rel</w:t>
      </w:r>
      <w:r w:rsidR="00C52EF4">
        <w:rPr>
          <w:rFonts w:ascii="Times New Roman" w:hAnsi="Times New Roman" w:cs="Times New Roman"/>
          <w:sz w:val="24"/>
          <w:szCs w:val="24"/>
        </w:rPr>
        <w:t>ating to standards of education</w:t>
      </w:r>
      <w:r>
        <w:rPr>
          <w:rFonts w:ascii="Times New Roman" w:hAnsi="Times New Roman" w:cs="Times New Roman"/>
          <w:sz w:val="24"/>
          <w:szCs w:val="24"/>
        </w:rPr>
        <w:t xml:space="preserve"> were addressed in the Bradley Review and in the subsequent TEQSA regime with its quality assurance and regulation framework.</w:t>
      </w:r>
    </w:p>
    <w:p w:rsidR="00731F04" w:rsidRPr="009E621E" w:rsidRDefault="00731F04" w:rsidP="00731F04">
      <w:pPr>
        <w:spacing w:line="360" w:lineRule="auto"/>
        <w:rPr>
          <w:rFonts w:ascii="Times New Roman" w:hAnsi="Times New Roman" w:cs="Times New Roman"/>
          <w:i/>
          <w:sz w:val="24"/>
          <w:szCs w:val="24"/>
        </w:rPr>
      </w:pPr>
      <w:r>
        <w:rPr>
          <w:rFonts w:ascii="Times New Roman" w:hAnsi="Times New Roman" w:cs="Times New Roman"/>
          <w:sz w:val="24"/>
          <w:szCs w:val="24"/>
        </w:rPr>
        <w:t>In addition however, and as noted by Knight above, there are many factors which also have had a significant impact on the reputation of Australia as a preferred destination for students wishing to study in Australian universities in the past few years.  One related to problems concerning student visas issued to international studies during their studies.  In recognition of the seriousness of the problem to Australian’s export industry in 2010 the Federal government initiated a strategic revi</w:t>
      </w:r>
      <w:r w:rsidR="00C92417">
        <w:rPr>
          <w:rFonts w:ascii="Times New Roman" w:hAnsi="Times New Roman" w:cs="Times New Roman"/>
          <w:sz w:val="24"/>
          <w:szCs w:val="24"/>
        </w:rPr>
        <w:t>ew of the student visa program</w:t>
      </w:r>
      <w:r>
        <w:rPr>
          <w:rFonts w:ascii="Times New Roman" w:hAnsi="Times New Roman" w:cs="Times New Roman"/>
          <w:sz w:val="24"/>
          <w:szCs w:val="24"/>
        </w:rPr>
        <w:t>, the report from this review conducted by Michael Kn</w:t>
      </w:r>
      <w:r w:rsidR="00C92417">
        <w:rPr>
          <w:rFonts w:ascii="Times New Roman" w:hAnsi="Times New Roman" w:cs="Times New Roman"/>
          <w:sz w:val="24"/>
          <w:szCs w:val="24"/>
        </w:rPr>
        <w:t xml:space="preserve">ight was submitted in June 2011.  </w:t>
      </w:r>
      <w:r>
        <w:rPr>
          <w:rFonts w:ascii="Times New Roman" w:hAnsi="Times New Roman" w:cs="Times New Roman"/>
          <w:sz w:val="24"/>
          <w:szCs w:val="24"/>
        </w:rPr>
        <w:t xml:space="preserve">The recommendations contained in the report are to be implemented in three stages, the first two being introduced in November 2011 and March 2012.  They make a wide variety of changes including matters such as reducing the financial requirements for some student applications, more flexible arrangements for English language study, genuine temporary entrant requirements, streamlined visa processing and more flexible work conditions for overseas students during their study in Australia.  The third stage was in a Bill introduced into the lower house in March 2012 and has passed its first reading.  The </w:t>
      </w:r>
      <w:r>
        <w:rPr>
          <w:rFonts w:ascii="Times New Roman" w:hAnsi="Times New Roman" w:cs="Times New Roman"/>
          <w:i/>
          <w:sz w:val="24"/>
          <w:szCs w:val="24"/>
        </w:rPr>
        <w:t xml:space="preserve">Migration Legislation (Student Visas) Amendment Bill 2012 </w:t>
      </w:r>
      <w:r>
        <w:rPr>
          <w:rFonts w:ascii="Times New Roman" w:hAnsi="Times New Roman" w:cs="Times New Roman"/>
          <w:sz w:val="24"/>
          <w:szCs w:val="24"/>
        </w:rPr>
        <w:t>aims to abolish automatic student visa cancellation.</w:t>
      </w:r>
      <w:r>
        <w:rPr>
          <w:rFonts w:ascii="Times New Roman" w:hAnsi="Times New Roman" w:cs="Times New Roman"/>
          <w:i/>
          <w:sz w:val="24"/>
          <w:szCs w:val="24"/>
        </w:rPr>
        <w:t xml:space="preserve"> </w:t>
      </w:r>
    </w:p>
    <w:p w:rsidR="00731F04" w:rsidRDefault="00731F04" w:rsidP="00731F0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other matters which have had a detrimental effect on Australia’s reputation for international education have been safety issues and the adverse publicity in home countries surrounding </w:t>
      </w:r>
      <w:r w:rsidR="00C92417">
        <w:rPr>
          <w:rFonts w:ascii="Times New Roman" w:hAnsi="Times New Roman" w:cs="Times New Roman"/>
          <w:sz w:val="24"/>
          <w:szCs w:val="24"/>
        </w:rPr>
        <w:t xml:space="preserve">shameful incidents, for example the </w:t>
      </w:r>
      <w:r>
        <w:rPr>
          <w:rFonts w:ascii="Times New Roman" w:hAnsi="Times New Roman" w:cs="Times New Roman"/>
          <w:sz w:val="24"/>
          <w:szCs w:val="24"/>
        </w:rPr>
        <w:t>assaults on Indian students in Melbourne, Victoria.  These issues are fundamentally related to a lack of a concerted approach to pastoral care rendering it often patchy at best</w:t>
      </w:r>
      <w:r w:rsidR="00C92417">
        <w:rPr>
          <w:rFonts w:ascii="Times New Roman" w:hAnsi="Times New Roman" w:cs="Times New Roman"/>
          <w:sz w:val="24"/>
          <w:szCs w:val="24"/>
        </w:rPr>
        <w:t>.  Such issues are now</w:t>
      </w:r>
      <w:r>
        <w:rPr>
          <w:rFonts w:ascii="Times New Roman" w:hAnsi="Times New Roman" w:cs="Times New Roman"/>
          <w:sz w:val="24"/>
          <w:szCs w:val="24"/>
        </w:rPr>
        <w:t xml:space="preserve"> being seriously addressed within most Australian universities. Another, factor is also the publicity surrounding the collapse of </w:t>
      </w:r>
      <w:r w:rsidR="007B4843">
        <w:rPr>
          <w:rFonts w:ascii="Times New Roman" w:hAnsi="Times New Roman" w:cs="Times New Roman"/>
          <w:sz w:val="24"/>
          <w:szCs w:val="24"/>
        </w:rPr>
        <w:t xml:space="preserve">some </w:t>
      </w:r>
      <w:r>
        <w:rPr>
          <w:rFonts w:ascii="Times New Roman" w:hAnsi="Times New Roman" w:cs="Times New Roman"/>
          <w:sz w:val="24"/>
          <w:szCs w:val="24"/>
        </w:rPr>
        <w:t xml:space="preserve">private provider institutions.  </w:t>
      </w:r>
      <w:r w:rsidR="007B4843">
        <w:rPr>
          <w:rFonts w:ascii="Times New Roman" w:hAnsi="Times New Roman" w:cs="Times New Roman"/>
          <w:sz w:val="24"/>
          <w:szCs w:val="24"/>
        </w:rPr>
        <w:t>A combination of t</w:t>
      </w:r>
      <w:r>
        <w:rPr>
          <w:rFonts w:ascii="Times New Roman" w:hAnsi="Times New Roman" w:cs="Times New Roman"/>
          <w:sz w:val="24"/>
          <w:szCs w:val="24"/>
        </w:rPr>
        <w:t>he CRICOS procedures and the new national regulatory regimes in higher edu</w:t>
      </w:r>
      <w:r w:rsidR="007B4843">
        <w:rPr>
          <w:rFonts w:ascii="Times New Roman" w:hAnsi="Times New Roman" w:cs="Times New Roman"/>
          <w:sz w:val="24"/>
          <w:szCs w:val="24"/>
        </w:rPr>
        <w:t>cation and in the VET sector is</w:t>
      </w:r>
      <w:r>
        <w:rPr>
          <w:rFonts w:ascii="Times New Roman" w:hAnsi="Times New Roman" w:cs="Times New Roman"/>
          <w:sz w:val="24"/>
          <w:szCs w:val="24"/>
        </w:rPr>
        <w:t xml:space="preserve"> designed t</w:t>
      </w:r>
      <w:r w:rsidR="007B4843">
        <w:rPr>
          <w:rFonts w:ascii="Times New Roman" w:hAnsi="Times New Roman" w:cs="Times New Roman"/>
          <w:sz w:val="24"/>
          <w:szCs w:val="24"/>
        </w:rPr>
        <w:t>o address this problem.  Additional factor which is</w:t>
      </w:r>
      <w:r>
        <w:rPr>
          <w:rFonts w:ascii="Times New Roman" w:hAnsi="Times New Roman" w:cs="Times New Roman"/>
          <w:sz w:val="24"/>
          <w:szCs w:val="24"/>
        </w:rPr>
        <w:t xml:space="preserve"> outside the control of the u</w:t>
      </w:r>
      <w:r w:rsidR="007B4843">
        <w:rPr>
          <w:rFonts w:ascii="Times New Roman" w:hAnsi="Times New Roman" w:cs="Times New Roman"/>
          <w:sz w:val="24"/>
          <w:szCs w:val="24"/>
        </w:rPr>
        <w:t xml:space="preserve">niversities </w:t>
      </w:r>
      <w:r>
        <w:rPr>
          <w:rFonts w:ascii="Times New Roman" w:hAnsi="Times New Roman" w:cs="Times New Roman"/>
          <w:sz w:val="24"/>
          <w:szCs w:val="24"/>
        </w:rPr>
        <w:t>is th</w:t>
      </w:r>
      <w:r w:rsidR="007B4843">
        <w:rPr>
          <w:rFonts w:ascii="Times New Roman" w:hAnsi="Times New Roman" w:cs="Times New Roman"/>
          <w:sz w:val="24"/>
          <w:szCs w:val="24"/>
        </w:rPr>
        <w:t xml:space="preserve">e rise in the Australian dollar, rendering </w:t>
      </w:r>
      <w:r>
        <w:rPr>
          <w:rFonts w:ascii="Times New Roman" w:hAnsi="Times New Roman" w:cs="Times New Roman"/>
          <w:sz w:val="24"/>
          <w:szCs w:val="24"/>
        </w:rPr>
        <w:t xml:space="preserve">Australian higher education fees less attractive in relation to </w:t>
      </w:r>
      <w:r w:rsidR="007B4843">
        <w:rPr>
          <w:rFonts w:ascii="Times New Roman" w:hAnsi="Times New Roman" w:cs="Times New Roman"/>
          <w:sz w:val="24"/>
          <w:szCs w:val="24"/>
        </w:rPr>
        <w:t xml:space="preserve">those in </w:t>
      </w:r>
      <w:r>
        <w:rPr>
          <w:rFonts w:ascii="Times New Roman" w:hAnsi="Times New Roman" w:cs="Times New Roman"/>
          <w:sz w:val="24"/>
          <w:szCs w:val="24"/>
        </w:rPr>
        <w:t xml:space="preserve">the UK, Europe and the US. </w:t>
      </w:r>
    </w:p>
    <w:p w:rsidR="00731F04" w:rsidRPr="00E8027A" w:rsidRDefault="00731F04" w:rsidP="00731F04">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E8027A">
        <w:rPr>
          <w:rFonts w:ascii="Times New Roman" w:eastAsia="Times New Roman" w:hAnsi="Times New Roman" w:cs="Times New Roman"/>
          <w:sz w:val="24"/>
          <w:szCs w:val="24"/>
        </w:rPr>
        <w:t xml:space="preserve">The Australian Government </w:t>
      </w:r>
      <w:r>
        <w:rPr>
          <w:rFonts w:ascii="Times New Roman" w:eastAsia="Times New Roman" w:hAnsi="Times New Roman" w:cs="Times New Roman"/>
          <w:sz w:val="24"/>
          <w:szCs w:val="24"/>
        </w:rPr>
        <w:t xml:space="preserve">also </w:t>
      </w:r>
      <w:r w:rsidRPr="00E8027A">
        <w:rPr>
          <w:rFonts w:ascii="Times New Roman" w:eastAsia="Times New Roman" w:hAnsi="Times New Roman" w:cs="Times New Roman"/>
          <w:sz w:val="24"/>
          <w:szCs w:val="24"/>
        </w:rPr>
        <w:t>moved quickly to investigate and bring in measures to deal with those problems wh</w:t>
      </w:r>
      <w:r>
        <w:rPr>
          <w:rFonts w:ascii="Times New Roman" w:eastAsia="Times New Roman" w:hAnsi="Times New Roman" w:cs="Times New Roman"/>
          <w:sz w:val="24"/>
          <w:szCs w:val="24"/>
        </w:rPr>
        <w:t xml:space="preserve">ich are within their control in two major areas.  This review </w:t>
      </w:r>
      <w:r w:rsidRPr="00E8027A">
        <w:rPr>
          <w:rFonts w:ascii="Times New Roman" w:eastAsia="Times New Roman" w:hAnsi="Times New Roman" w:cs="Times New Roman"/>
          <w:sz w:val="24"/>
          <w:szCs w:val="24"/>
        </w:rPr>
        <w:t>investigated the issues facing the sector</w:t>
      </w:r>
      <w:r>
        <w:rPr>
          <w:rFonts w:ascii="Times New Roman" w:eastAsia="Times New Roman" w:hAnsi="Times New Roman" w:cs="Times New Roman"/>
          <w:sz w:val="24"/>
          <w:szCs w:val="24"/>
        </w:rPr>
        <w:t xml:space="preserve"> generally</w:t>
      </w:r>
      <w:r w:rsidRPr="00E8027A">
        <w:rPr>
          <w:rFonts w:ascii="Times New Roman" w:eastAsia="Times New Roman" w:hAnsi="Times New Roman" w:cs="Times New Roman"/>
          <w:sz w:val="24"/>
          <w:szCs w:val="24"/>
        </w:rPr>
        <w:t xml:space="preserve"> which threaten Australia’s reputation as offering a world class quality education</w:t>
      </w:r>
      <w:r>
        <w:rPr>
          <w:rFonts w:ascii="Times New Roman" w:eastAsia="Times New Roman" w:hAnsi="Times New Roman" w:cs="Times New Roman"/>
          <w:sz w:val="24"/>
          <w:szCs w:val="24"/>
        </w:rPr>
        <w:t xml:space="preserve"> and was conducted by the Hon Bruce Baird</w:t>
      </w:r>
      <w:r w:rsidRPr="00E8027A">
        <w:rPr>
          <w:rFonts w:ascii="Times New Roman" w:eastAsia="Times New Roman" w:hAnsi="Times New Roman" w:cs="Times New Roman"/>
          <w:sz w:val="24"/>
          <w:szCs w:val="24"/>
        </w:rPr>
        <w:t>. His report ‘</w:t>
      </w:r>
      <w:r w:rsidRPr="00E8027A">
        <w:rPr>
          <w:rFonts w:ascii="Times New Roman" w:eastAsia="Times New Roman" w:hAnsi="Times New Roman" w:cs="Times New Roman"/>
          <w:i/>
          <w:iCs/>
          <w:sz w:val="24"/>
          <w:szCs w:val="24"/>
        </w:rPr>
        <w:t>Stronger, simpler, smarter ESOS: supporting international students’</w:t>
      </w:r>
      <w:r w:rsidRPr="00E8027A">
        <w:rPr>
          <w:rFonts w:ascii="Times New Roman" w:eastAsia="Times New Roman" w:hAnsi="Times New Roman" w:cs="Times New Roman"/>
          <w:sz w:val="24"/>
          <w:szCs w:val="24"/>
        </w:rPr>
        <w:t xml:space="preserve">, was submitted in 2010.  </w:t>
      </w:r>
      <w:r>
        <w:rPr>
          <w:rFonts w:ascii="Times New Roman" w:eastAsia="Times New Roman" w:hAnsi="Times New Roman" w:cs="Times New Roman"/>
          <w:sz w:val="24"/>
          <w:szCs w:val="24"/>
        </w:rPr>
        <w:t xml:space="preserve">Essentially Baird made recommendations </w:t>
      </w:r>
      <w:r w:rsidRPr="00E8027A">
        <w:rPr>
          <w:rFonts w:ascii="Times New Roman" w:eastAsia="Times New Roman" w:hAnsi="Times New Roman" w:cs="Times New Roman"/>
          <w:sz w:val="24"/>
          <w:szCs w:val="24"/>
        </w:rPr>
        <w:t>in these areas:</w:t>
      </w:r>
    </w:p>
    <w:p w:rsidR="00731F04" w:rsidRPr="00E8027A" w:rsidRDefault="00731F04" w:rsidP="00731F04">
      <w:pPr>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E8027A">
        <w:rPr>
          <w:rFonts w:ascii="Times New Roman" w:eastAsia="Times New Roman" w:hAnsi="Times New Roman" w:cs="Times New Roman"/>
          <w:sz w:val="24"/>
          <w:szCs w:val="24"/>
        </w:rPr>
        <w:t xml:space="preserve">more support for international students and improved information </w:t>
      </w:r>
    </w:p>
    <w:p w:rsidR="00731F04" w:rsidRPr="00E8027A" w:rsidRDefault="00731F04" w:rsidP="00731F04">
      <w:pPr>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E8027A">
        <w:rPr>
          <w:rFonts w:ascii="Times New Roman" w:eastAsia="Times New Roman" w:hAnsi="Times New Roman" w:cs="Times New Roman"/>
          <w:sz w:val="24"/>
          <w:szCs w:val="24"/>
        </w:rPr>
        <w:t xml:space="preserve">stronger consumer protection mechanisms to ensure students are protected from unscrupulous operators </w:t>
      </w:r>
    </w:p>
    <w:p w:rsidR="00731F04" w:rsidRPr="00E8027A" w:rsidRDefault="00731F04" w:rsidP="00731F04">
      <w:pPr>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E8027A">
        <w:rPr>
          <w:rFonts w:ascii="Times New Roman" w:eastAsia="Times New Roman" w:hAnsi="Times New Roman" w:cs="Times New Roman"/>
          <w:sz w:val="24"/>
          <w:szCs w:val="24"/>
        </w:rPr>
        <w:t xml:space="preserve">improved regulation of Australia's international education sector </w:t>
      </w:r>
    </w:p>
    <w:p w:rsidR="00731F04" w:rsidRDefault="00731F04" w:rsidP="00731F04">
      <w:pPr>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E8027A">
        <w:rPr>
          <w:rFonts w:ascii="Times New Roman" w:eastAsia="Times New Roman" w:hAnsi="Times New Roman" w:cs="Times New Roman"/>
          <w:sz w:val="24"/>
          <w:szCs w:val="24"/>
        </w:rPr>
        <w:t xml:space="preserve">improved support for those who study and live in Australia including having somewhere to go when problems arise. </w:t>
      </w:r>
    </w:p>
    <w:p w:rsidR="00731F04" w:rsidRPr="002926E0" w:rsidRDefault="00731F04" w:rsidP="002926E0">
      <w:pPr>
        <w:shd w:val="clear" w:color="auto" w:fill="FFFFFF"/>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Commonwealth government is progressively moving to address the Report’s recommendations.  </w:t>
      </w:r>
      <w:r w:rsidR="002926E0">
        <w:rPr>
          <w:rFonts w:ascii="Times New Roman" w:eastAsia="Times New Roman" w:hAnsi="Times New Roman" w:cs="Times New Roman"/>
          <w:sz w:val="24"/>
          <w:szCs w:val="24"/>
        </w:rPr>
        <w:t xml:space="preserve">In response it </w:t>
      </w:r>
      <w:r w:rsidRPr="003367FA">
        <w:rPr>
          <w:rFonts w:ascii="Times New Roman" w:hAnsi="Times New Roman" w:cs="Times New Roman"/>
          <w:color w:val="000000"/>
          <w:sz w:val="24"/>
          <w:szCs w:val="24"/>
          <w:lang w:val="en-US"/>
        </w:rPr>
        <w:t>has recently passed</w:t>
      </w:r>
      <w:r>
        <w:rPr>
          <w:rFonts w:ascii="Times New Roman" w:hAnsi="Times New Roman" w:cs="Times New Roman"/>
          <w:color w:val="000000"/>
          <w:sz w:val="24"/>
          <w:szCs w:val="24"/>
          <w:lang w:val="en-US"/>
        </w:rPr>
        <w:t xml:space="preserve"> three </w:t>
      </w:r>
      <w:r w:rsidRPr="003367FA">
        <w:rPr>
          <w:rFonts w:ascii="Times New Roman" w:hAnsi="Times New Roman" w:cs="Times New Roman"/>
          <w:color w:val="000000"/>
          <w:sz w:val="24"/>
          <w:szCs w:val="24"/>
          <w:lang w:val="en-US"/>
        </w:rPr>
        <w:t xml:space="preserve">new pieces of legislation, as amendments to the (CTH) </w:t>
      </w:r>
      <w:r w:rsidRPr="003367FA">
        <w:rPr>
          <w:rFonts w:ascii="Times New Roman" w:hAnsi="Times New Roman" w:cs="Times New Roman"/>
          <w:i/>
          <w:color w:val="000000"/>
          <w:sz w:val="24"/>
          <w:szCs w:val="24"/>
          <w:lang w:val="en-US"/>
        </w:rPr>
        <w:t xml:space="preserve">Education Services for Overseas Students Act 2000.  </w:t>
      </w:r>
      <w:r w:rsidRPr="0042652F">
        <w:rPr>
          <w:rFonts w:ascii="Times New Roman" w:hAnsi="Times New Roman" w:cs="Times New Roman"/>
          <w:color w:val="000000"/>
          <w:sz w:val="24"/>
          <w:szCs w:val="24"/>
          <w:lang w:val="en-US"/>
        </w:rPr>
        <w:t xml:space="preserve">The </w:t>
      </w:r>
      <w:r>
        <w:rPr>
          <w:rFonts w:ascii="Times New Roman" w:hAnsi="Times New Roman" w:cs="Times New Roman"/>
          <w:i/>
          <w:color w:val="000000"/>
          <w:sz w:val="24"/>
          <w:szCs w:val="24"/>
          <w:lang w:val="en-US"/>
        </w:rPr>
        <w:t xml:space="preserve">Education Services for Overseas Students Legislation Amendment (Tuition Protection Service and Other Measures) Act 2012, </w:t>
      </w:r>
      <w:r>
        <w:rPr>
          <w:rFonts w:ascii="Times New Roman" w:hAnsi="Times New Roman" w:cs="Times New Roman"/>
          <w:color w:val="000000"/>
          <w:sz w:val="24"/>
          <w:szCs w:val="24"/>
          <w:lang w:val="en-US"/>
        </w:rPr>
        <w:t xml:space="preserve">the </w:t>
      </w:r>
      <w:r>
        <w:rPr>
          <w:rFonts w:ascii="Times New Roman" w:hAnsi="Times New Roman" w:cs="Times New Roman"/>
          <w:i/>
          <w:color w:val="000000"/>
          <w:sz w:val="24"/>
          <w:szCs w:val="24"/>
          <w:lang w:val="en-US"/>
        </w:rPr>
        <w:t xml:space="preserve">Education Services for Overseas Students (Registration Charges Amendment (Tuition Protection Service) Act 2012 </w:t>
      </w:r>
      <w:r>
        <w:rPr>
          <w:rFonts w:ascii="Times New Roman" w:hAnsi="Times New Roman" w:cs="Times New Roman"/>
          <w:color w:val="000000"/>
          <w:sz w:val="24"/>
          <w:szCs w:val="24"/>
          <w:lang w:val="en-US"/>
        </w:rPr>
        <w:t xml:space="preserve">and the </w:t>
      </w:r>
      <w:r>
        <w:rPr>
          <w:rFonts w:ascii="Times New Roman" w:hAnsi="Times New Roman" w:cs="Times New Roman"/>
          <w:i/>
          <w:color w:val="000000"/>
          <w:sz w:val="24"/>
          <w:szCs w:val="24"/>
          <w:lang w:val="en-US"/>
        </w:rPr>
        <w:t xml:space="preserve">Education Services for Overseas Students (TPS Levies) Act 2012 </w:t>
      </w:r>
      <w:r>
        <w:rPr>
          <w:rFonts w:ascii="Times New Roman" w:hAnsi="Times New Roman" w:cs="Times New Roman"/>
          <w:color w:val="000000"/>
          <w:sz w:val="24"/>
          <w:szCs w:val="24"/>
          <w:lang w:val="en-US"/>
        </w:rPr>
        <w:t>aim to offer greater protection</w:t>
      </w:r>
      <w:r w:rsidR="00E43877" w:rsidRPr="003367FA">
        <w:rPr>
          <w:rFonts w:ascii="Times New Roman" w:hAnsi="Times New Roman" w:cs="Times New Roman"/>
          <w:color w:val="000000"/>
          <w:sz w:val="24"/>
          <w:szCs w:val="24"/>
          <w:lang w:val="en-US"/>
        </w:rPr>
        <w:fldChar w:fldCharType="begin"/>
      </w:r>
      <w:r w:rsidRPr="003367FA">
        <w:rPr>
          <w:rFonts w:ascii="Times New Roman" w:hAnsi="Times New Roman" w:cs="Times New Roman"/>
          <w:color w:val="000000"/>
          <w:sz w:val="24"/>
          <w:szCs w:val="24"/>
          <w:lang w:val="en-US"/>
        </w:rPr>
        <w:instrText xml:space="preserve"> HYPERLINK "http://www.comlaw.gov.au/Details/C2012A00009" </w:instrText>
      </w:r>
      <w:r w:rsidR="00E43877" w:rsidRPr="003367FA">
        <w:rPr>
          <w:rFonts w:ascii="Times New Roman" w:hAnsi="Times New Roman" w:cs="Times New Roman"/>
          <w:color w:val="000000"/>
          <w:sz w:val="24"/>
          <w:szCs w:val="24"/>
          <w:lang w:val="en-US"/>
        </w:rPr>
        <w:fldChar w:fldCharType="separate"/>
      </w:r>
      <w:r>
        <w:rPr>
          <w:rFonts w:ascii="Times New Roman" w:hAnsi="Times New Roman" w:cs="Times New Roman"/>
          <w:color w:val="000000"/>
          <w:sz w:val="24"/>
          <w:szCs w:val="24"/>
          <w:lang w:val="en-US"/>
        </w:rPr>
        <w:t xml:space="preserve"> to overseas students in respect of their tuition fees by setting up a Tuition Protection Service.  This service acts as an insurance based on risk for overseas students in respect of fees paid for discontinued courses.</w:t>
      </w:r>
    </w:p>
    <w:p w:rsidR="005D29B2" w:rsidRPr="00B6620A" w:rsidRDefault="00E43877" w:rsidP="009C0308">
      <w:pPr>
        <w:shd w:val="clear" w:color="auto" w:fill="FFFFFF"/>
        <w:spacing w:before="100" w:beforeAutospacing="1" w:after="100" w:afterAutospacing="1" w:line="360" w:lineRule="auto"/>
        <w:rPr>
          <w:rFonts w:ascii="Times New Roman" w:hAnsi="Times New Roman" w:cs="Times New Roman"/>
          <w:sz w:val="24"/>
          <w:szCs w:val="24"/>
        </w:rPr>
        <w:sectPr w:rsidR="005D29B2" w:rsidRPr="00B6620A">
          <w:type w:val="continuous"/>
          <w:pgSz w:w="12240" w:h="15840"/>
          <w:pgMar w:top="1728" w:right="1296" w:bottom="1296" w:left="1296" w:header="720" w:footer="720" w:gutter="0"/>
          <w:cols w:space="720"/>
        </w:sectPr>
      </w:pPr>
      <w:r w:rsidRPr="003367FA">
        <w:rPr>
          <w:rFonts w:ascii="Times New Roman" w:hAnsi="Times New Roman" w:cs="Times New Roman"/>
          <w:color w:val="000000"/>
          <w:sz w:val="24"/>
          <w:szCs w:val="24"/>
          <w:lang w:val="en-US"/>
        </w:rPr>
        <w:fldChar w:fldCharType="end"/>
      </w:r>
      <w:r w:rsidR="00731F04" w:rsidRPr="00E8027A">
        <w:rPr>
          <w:rFonts w:ascii="Times New Roman" w:hAnsi="Times New Roman" w:cs="Times New Roman"/>
          <w:sz w:val="24"/>
          <w:szCs w:val="24"/>
        </w:rPr>
        <w:t xml:space="preserve">To support Australian education institutions to deliver a high quality international education experience, the Council of Australian Governments developed the </w:t>
      </w:r>
      <w:r w:rsidR="00731F04" w:rsidRPr="00E8027A">
        <w:rPr>
          <w:rFonts w:ascii="Times New Roman" w:hAnsi="Times New Roman" w:cs="Times New Roman"/>
          <w:i/>
          <w:iCs/>
          <w:sz w:val="24"/>
          <w:szCs w:val="24"/>
        </w:rPr>
        <w:t xml:space="preserve">International Students Strategy for Australia 2010-2014 </w:t>
      </w:r>
      <w:r w:rsidR="00731F04" w:rsidRPr="00E8027A">
        <w:rPr>
          <w:rFonts w:ascii="Times New Roman" w:hAnsi="Times New Roman" w:cs="Times New Roman"/>
          <w:sz w:val="24"/>
          <w:szCs w:val="24"/>
        </w:rPr>
        <w:t>(the ISSA). The ISSA is designed to “support a high-quality experience for international students, in order to ensure a sustainable future for quality international education in Australia”.</w:t>
      </w:r>
      <w:r w:rsidR="00731F04" w:rsidRPr="00E8027A">
        <w:rPr>
          <w:rStyle w:val="FootnoteReference"/>
          <w:sz w:val="24"/>
          <w:szCs w:val="24"/>
        </w:rPr>
        <w:footnoteReference w:id="85"/>
      </w:r>
    </w:p>
    <w:p w:rsidR="00EF1491" w:rsidRPr="00B6620A" w:rsidRDefault="00EF1491" w:rsidP="002E281B">
      <w:pPr>
        <w:spacing w:after="0" w:line="360" w:lineRule="auto"/>
        <w:rPr>
          <w:rFonts w:ascii="Times New Roman" w:hAnsi="Times New Roman" w:cs="Times New Roman"/>
          <w:sz w:val="24"/>
          <w:szCs w:val="24"/>
        </w:rPr>
        <w:sectPr w:rsidR="00EF1491" w:rsidRPr="00B6620A">
          <w:headerReference w:type="default" r:id="rId14"/>
          <w:type w:val="continuous"/>
          <w:pgSz w:w="12240" w:h="15840"/>
          <w:pgMar w:top="1728" w:right="1296" w:bottom="1296" w:left="1296" w:header="720" w:footer="720" w:gutter="0"/>
          <w:cols w:space="720"/>
        </w:sectPr>
      </w:pPr>
    </w:p>
    <w:p w:rsidR="00F919D3" w:rsidRDefault="00E60BEB" w:rsidP="002E281B">
      <w:pPr>
        <w:spacing w:line="360" w:lineRule="auto"/>
        <w:rPr>
          <w:rFonts w:ascii="Times New Roman" w:hAnsi="Times New Roman" w:cs="Times New Roman"/>
          <w:b/>
          <w:bCs/>
          <w:sz w:val="24"/>
          <w:szCs w:val="24"/>
        </w:rPr>
      </w:pPr>
      <w:r>
        <w:rPr>
          <w:rFonts w:ascii="Times New Roman" w:hAnsi="Times New Roman" w:cs="Times New Roman"/>
          <w:b/>
          <w:bCs/>
          <w:sz w:val="24"/>
          <w:szCs w:val="24"/>
        </w:rPr>
        <w:t>The University/Student Relationship</w:t>
      </w:r>
    </w:p>
    <w:p w:rsidR="007B4843" w:rsidRPr="007B4843" w:rsidRDefault="007B4843" w:rsidP="002E281B">
      <w:pPr>
        <w:spacing w:line="360" w:lineRule="auto"/>
        <w:rPr>
          <w:rFonts w:ascii="Times New Roman" w:hAnsi="Times New Roman" w:cs="Times New Roman"/>
          <w:bCs/>
          <w:sz w:val="24"/>
          <w:szCs w:val="24"/>
        </w:rPr>
      </w:pPr>
      <w:r>
        <w:rPr>
          <w:rFonts w:ascii="Times New Roman" w:hAnsi="Times New Roman" w:cs="Times New Roman"/>
          <w:bCs/>
          <w:sz w:val="24"/>
          <w:szCs w:val="24"/>
        </w:rPr>
        <w:t>The basis of the relationship a university has with its students has been the subject of judicial consideration in the UK and New Zealand but is yet to be definitively decided in Australia.  In the words of Kirby J in the High Court of Australia:</w:t>
      </w:r>
    </w:p>
    <w:p w:rsidR="003D7CA6" w:rsidRPr="000634CB" w:rsidRDefault="003D7CA6" w:rsidP="003D7CA6">
      <w:pPr>
        <w:autoSpaceDE w:val="0"/>
        <w:autoSpaceDN w:val="0"/>
        <w:adjustRightInd w:val="0"/>
        <w:spacing w:after="0" w:line="240" w:lineRule="auto"/>
        <w:ind w:left="851"/>
        <w:rPr>
          <w:rFonts w:ascii="Times New Roman" w:hAnsi="Times New Roman" w:cs="Times New Roman"/>
          <w:sz w:val="20"/>
          <w:szCs w:val="20"/>
        </w:rPr>
      </w:pPr>
      <w:r w:rsidRPr="000634CB">
        <w:rPr>
          <w:rFonts w:ascii="Times New Roman" w:hAnsi="Times New Roman" w:cs="Times New Roman"/>
          <w:sz w:val="20"/>
          <w:szCs w:val="20"/>
        </w:rPr>
        <w:t>Can I just ask a question? It was common ground when we were told of this at the special</w:t>
      </w:r>
    </w:p>
    <w:p w:rsidR="003D7CA6" w:rsidRPr="000634CB" w:rsidRDefault="003D7CA6" w:rsidP="003D7CA6">
      <w:pPr>
        <w:autoSpaceDE w:val="0"/>
        <w:autoSpaceDN w:val="0"/>
        <w:adjustRightInd w:val="0"/>
        <w:spacing w:after="0" w:line="240" w:lineRule="auto"/>
        <w:ind w:left="851"/>
        <w:rPr>
          <w:rFonts w:ascii="Times New Roman" w:hAnsi="Times New Roman" w:cs="Times New Roman"/>
          <w:sz w:val="20"/>
          <w:szCs w:val="20"/>
        </w:rPr>
      </w:pPr>
      <w:r w:rsidRPr="000634CB">
        <w:rPr>
          <w:rFonts w:ascii="Times New Roman" w:hAnsi="Times New Roman" w:cs="Times New Roman"/>
          <w:sz w:val="20"/>
          <w:szCs w:val="20"/>
        </w:rPr>
        <w:t>leave hearing that there is no contractual relationship. I am curious about that. Would not</w:t>
      </w:r>
    </w:p>
    <w:p w:rsidR="003D7CA6" w:rsidRPr="000634CB" w:rsidRDefault="003D7CA6" w:rsidP="003D7CA6">
      <w:pPr>
        <w:autoSpaceDE w:val="0"/>
        <w:autoSpaceDN w:val="0"/>
        <w:adjustRightInd w:val="0"/>
        <w:spacing w:after="0" w:line="240" w:lineRule="auto"/>
        <w:ind w:left="851"/>
        <w:rPr>
          <w:rFonts w:ascii="Times New Roman" w:hAnsi="Times New Roman" w:cs="Times New Roman"/>
          <w:sz w:val="20"/>
          <w:szCs w:val="20"/>
        </w:rPr>
      </w:pPr>
      <w:r w:rsidRPr="000634CB">
        <w:rPr>
          <w:rFonts w:ascii="Times New Roman" w:hAnsi="Times New Roman" w:cs="Times New Roman"/>
          <w:sz w:val="20"/>
          <w:szCs w:val="20"/>
        </w:rPr>
        <w:t>the respondent have paid fees? I accept that this has been common ground and maybe it</w:t>
      </w:r>
    </w:p>
    <w:p w:rsidR="003D7CA6" w:rsidRPr="000634CB" w:rsidRDefault="003D7CA6" w:rsidP="003D7CA6">
      <w:pPr>
        <w:autoSpaceDE w:val="0"/>
        <w:autoSpaceDN w:val="0"/>
        <w:adjustRightInd w:val="0"/>
        <w:spacing w:after="0" w:line="240" w:lineRule="auto"/>
        <w:ind w:left="851"/>
        <w:rPr>
          <w:rFonts w:ascii="Times New Roman" w:hAnsi="Times New Roman" w:cs="Times New Roman"/>
          <w:sz w:val="20"/>
          <w:szCs w:val="20"/>
        </w:rPr>
      </w:pPr>
      <w:r w:rsidRPr="000634CB">
        <w:rPr>
          <w:rFonts w:ascii="Times New Roman" w:hAnsi="Times New Roman" w:cs="Times New Roman"/>
          <w:sz w:val="20"/>
          <w:szCs w:val="20"/>
        </w:rPr>
        <w:t>ought not and cannot be revived now, but would you just illuminate why that was common</w:t>
      </w:r>
    </w:p>
    <w:p w:rsidR="003D7CA6" w:rsidRPr="000634CB" w:rsidRDefault="003D7CA6" w:rsidP="003D7CA6">
      <w:pPr>
        <w:autoSpaceDE w:val="0"/>
        <w:autoSpaceDN w:val="0"/>
        <w:adjustRightInd w:val="0"/>
        <w:spacing w:after="0" w:line="240" w:lineRule="auto"/>
        <w:ind w:left="851"/>
        <w:rPr>
          <w:rFonts w:ascii="Times New Roman" w:hAnsi="Times New Roman" w:cs="Times New Roman"/>
          <w:sz w:val="20"/>
          <w:szCs w:val="20"/>
        </w:rPr>
      </w:pPr>
      <w:r w:rsidRPr="000634CB">
        <w:rPr>
          <w:rFonts w:ascii="Times New Roman" w:hAnsi="Times New Roman" w:cs="Times New Roman"/>
          <w:sz w:val="20"/>
          <w:szCs w:val="20"/>
        </w:rPr>
        <w:t>ground? I just have to put it out of my brain even though it will not seem to go away.</w:t>
      </w:r>
      <w:r>
        <w:rPr>
          <w:rStyle w:val="FootnoteReference"/>
          <w:sz w:val="20"/>
          <w:szCs w:val="20"/>
        </w:rPr>
        <w:footnoteReference w:id="86"/>
      </w:r>
    </w:p>
    <w:p w:rsidR="003D7CA6" w:rsidRDefault="003D7CA6" w:rsidP="003D7CA6">
      <w:pPr>
        <w:spacing w:line="360" w:lineRule="auto"/>
        <w:rPr>
          <w:rFonts w:ascii="TimesNewRomanPSMT" w:hAnsi="TimesNewRomanPSMT" w:cs="TimesNewRomanPSMT"/>
          <w:sz w:val="20"/>
          <w:szCs w:val="20"/>
        </w:rPr>
      </w:pPr>
    </w:p>
    <w:p w:rsidR="000634CB" w:rsidRDefault="00A52EF3" w:rsidP="002E281B">
      <w:pPr>
        <w:spacing w:line="360" w:lineRule="auto"/>
        <w:rPr>
          <w:rFonts w:ascii="Times New Roman" w:hAnsi="Times New Roman" w:cs="Times New Roman"/>
          <w:bCs/>
          <w:i/>
          <w:sz w:val="24"/>
          <w:szCs w:val="24"/>
        </w:rPr>
      </w:pPr>
      <w:r>
        <w:rPr>
          <w:rFonts w:ascii="Times New Roman" w:hAnsi="Times New Roman" w:cs="Times New Roman"/>
          <w:bCs/>
          <w:sz w:val="24"/>
          <w:szCs w:val="24"/>
        </w:rPr>
        <w:t>T</w:t>
      </w:r>
      <w:r w:rsidR="00F919D3">
        <w:rPr>
          <w:rFonts w:ascii="Times New Roman" w:hAnsi="Times New Roman" w:cs="Times New Roman"/>
          <w:bCs/>
          <w:sz w:val="24"/>
          <w:szCs w:val="24"/>
        </w:rPr>
        <w:t xml:space="preserve">he traditional view </w:t>
      </w:r>
      <w:r w:rsidR="007B4843">
        <w:rPr>
          <w:rFonts w:ascii="Times New Roman" w:hAnsi="Times New Roman" w:cs="Times New Roman"/>
          <w:bCs/>
          <w:sz w:val="24"/>
          <w:szCs w:val="24"/>
        </w:rPr>
        <w:t xml:space="preserve">here </w:t>
      </w:r>
      <w:r w:rsidR="003D7CA6">
        <w:rPr>
          <w:rFonts w:ascii="Times New Roman" w:hAnsi="Times New Roman" w:cs="Times New Roman"/>
          <w:bCs/>
          <w:sz w:val="24"/>
          <w:szCs w:val="24"/>
        </w:rPr>
        <w:t>as elsewhere</w:t>
      </w:r>
      <w:r w:rsidR="007B4843">
        <w:rPr>
          <w:rFonts w:ascii="Times New Roman" w:hAnsi="Times New Roman" w:cs="Times New Roman"/>
          <w:bCs/>
          <w:sz w:val="24"/>
          <w:szCs w:val="24"/>
        </w:rPr>
        <w:t xml:space="preserve"> was</w:t>
      </w:r>
      <w:r w:rsidR="003D7CA6">
        <w:rPr>
          <w:rFonts w:ascii="Times New Roman" w:hAnsi="Times New Roman" w:cs="Times New Roman"/>
          <w:bCs/>
          <w:sz w:val="24"/>
          <w:szCs w:val="24"/>
        </w:rPr>
        <w:t xml:space="preserve"> </w:t>
      </w:r>
      <w:r w:rsidR="00CF098E">
        <w:rPr>
          <w:rFonts w:ascii="Times New Roman" w:hAnsi="Times New Roman" w:cs="Times New Roman"/>
          <w:bCs/>
          <w:sz w:val="24"/>
          <w:szCs w:val="24"/>
        </w:rPr>
        <w:t xml:space="preserve">that </w:t>
      </w:r>
      <w:r w:rsidR="007B4843">
        <w:rPr>
          <w:rFonts w:ascii="Times New Roman" w:hAnsi="Times New Roman" w:cs="Times New Roman"/>
          <w:bCs/>
          <w:sz w:val="24"/>
          <w:szCs w:val="24"/>
        </w:rPr>
        <w:t xml:space="preserve">as students are </w:t>
      </w:r>
      <w:r w:rsidR="00F919D3">
        <w:rPr>
          <w:rFonts w:ascii="Times New Roman" w:hAnsi="Times New Roman" w:cs="Times New Roman"/>
          <w:bCs/>
          <w:sz w:val="24"/>
          <w:szCs w:val="24"/>
        </w:rPr>
        <w:t>members of the university</w:t>
      </w:r>
      <w:r w:rsidR="007B4843">
        <w:rPr>
          <w:rFonts w:ascii="Times New Roman" w:hAnsi="Times New Roman" w:cs="Times New Roman"/>
          <w:bCs/>
          <w:sz w:val="24"/>
          <w:szCs w:val="24"/>
        </w:rPr>
        <w:t xml:space="preserve"> </w:t>
      </w:r>
      <w:r w:rsidR="00F37845">
        <w:rPr>
          <w:rFonts w:ascii="Times New Roman" w:hAnsi="Times New Roman" w:cs="Times New Roman"/>
          <w:bCs/>
          <w:sz w:val="24"/>
          <w:szCs w:val="24"/>
        </w:rPr>
        <w:t xml:space="preserve">university/student matters </w:t>
      </w:r>
      <w:r w:rsidR="007B4843">
        <w:rPr>
          <w:rFonts w:ascii="Times New Roman" w:hAnsi="Times New Roman" w:cs="Times New Roman"/>
          <w:bCs/>
          <w:sz w:val="24"/>
          <w:szCs w:val="24"/>
        </w:rPr>
        <w:t xml:space="preserve">were </w:t>
      </w:r>
      <w:r w:rsidR="00CF098E">
        <w:rPr>
          <w:rFonts w:ascii="Times New Roman" w:hAnsi="Times New Roman" w:cs="Times New Roman"/>
          <w:bCs/>
          <w:sz w:val="24"/>
          <w:szCs w:val="24"/>
        </w:rPr>
        <w:t xml:space="preserve">governed </w:t>
      </w:r>
      <w:r w:rsidR="007B4843">
        <w:rPr>
          <w:rFonts w:ascii="Times New Roman" w:hAnsi="Times New Roman" w:cs="Times New Roman"/>
          <w:bCs/>
          <w:sz w:val="24"/>
          <w:szCs w:val="24"/>
        </w:rPr>
        <w:t xml:space="preserve">solely </w:t>
      </w:r>
      <w:r w:rsidR="00CF098E">
        <w:rPr>
          <w:rFonts w:ascii="Times New Roman" w:hAnsi="Times New Roman" w:cs="Times New Roman"/>
          <w:bCs/>
          <w:sz w:val="24"/>
          <w:szCs w:val="24"/>
        </w:rPr>
        <w:t>by the</w:t>
      </w:r>
      <w:r w:rsidR="003D7CA6">
        <w:rPr>
          <w:rFonts w:ascii="Times New Roman" w:hAnsi="Times New Roman" w:cs="Times New Roman"/>
          <w:bCs/>
          <w:sz w:val="24"/>
          <w:szCs w:val="24"/>
        </w:rPr>
        <w:t xml:space="preserve"> university statutes and bylaws</w:t>
      </w:r>
      <w:r w:rsidR="007B4843">
        <w:rPr>
          <w:rFonts w:ascii="Times New Roman" w:hAnsi="Times New Roman" w:cs="Times New Roman"/>
          <w:bCs/>
          <w:sz w:val="24"/>
          <w:szCs w:val="24"/>
        </w:rPr>
        <w:t xml:space="preserve">.  This  </w:t>
      </w:r>
      <w:r w:rsidR="003D7CA6">
        <w:rPr>
          <w:rFonts w:ascii="Times New Roman" w:hAnsi="Times New Roman" w:cs="Times New Roman"/>
          <w:bCs/>
          <w:sz w:val="24"/>
          <w:szCs w:val="24"/>
        </w:rPr>
        <w:t xml:space="preserve"> included the resolution of grievances (by students and staff alike) internally.</w:t>
      </w:r>
      <w:r w:rsidR="003D7CA6">
        <w:rPr>
          <w:rStyle w:val="FootnoteReference"/>
          <w:bCs/>
          <w:sz w:val="24"/>
          <w:szCs w:val="24"/>
        </w:rPr>
        <w:footnoteReference w:id="87"/>
      </w:r>
      <w:r w:rsidR="00CF098E">
        <w:rPr>
          <w:rFonts w:ascii="Times New Roman" w:hAnsi="Times New Roman" w:cs="Times New Roman"/>
          <w:bCs/>
          <w:sz w:val="24"/>
          <w:szCs w:val="24"/>
        </w:rPr>
        <w:t xml:space="preserve"> </w:t>
      </w:r>
      <w:r w:rsidR="00F919D3">
        <w:rPr>
          <w:rFonts w:ascii="Times New Roman" w:hAnsi="Times New Roman" w:cs="Times New Roman"/>
          <w:bCs/>
          <w:sz w:val="24"/>
          <w:szCs w:val="24"/>
        </w:rPr>
        <w:t xml:space="preserve">This is no longer considered to be </w:t>
      </w:r>
      <w:r w:rsidR="00CF098E">
        <w:rPr>
          <w:rFonts w:ascii="Times New Roman" w:hAnsi="Times New Roman" w:cs="Times New Roman"/>
          <w:bCs/>
          <w:sz w:val="24"/>
          <w:szCs w:val="24"/>
        </w:rPr>
        <w:t xml:space="preserve">entirely </w:t>
      </w:r>
      <w:r w:rsidR="00F919D3">
        <w:rPr>
          <w:rFonts w:ascii="Times New Roman" w:hAnsi="Times New Roman" w:cs="Times New Roman"/>
          <w:bCs/>
          <w:sz w:val="24"/>
          <w:szCs w:val="24"/>
        </w:rPr>
        <w:t>the case, particula</w:t>
      </w:r>
      <w:r w:rsidR="00CF098E">
        <w:rPr>
          <w:rFonts w:ascii="Times New Roman" w:hAnsi="Times New Roman" w:cs="Times New Roman"/>
          <w:bCs/>
          <w:sz w:val="24"/>
          <w:szCs w:val="24"/>
        </w:rPr>
        <w:t>rly in the newer universities. While t</w:t>
      </w:r>
      <w:r w:rsidR="00F919D3">
        <w:rPr>
          <w:rFonts w:ascii="Times New Roman" w:hAnsi="Times New Roman" w:cs="Times New Roman"/>
          <w:bCs/>
          <w:sz w:val="24"/>
          <w:szCs w:val="24"/>
        </w:rPr>
        <w:t>he relationship of students with the university is undoubtedly founded in the university statutes and the many bylaw</w:t>
      </w:r>
      <w:r w:rsidR="00CF098E">
        <w:rPr>
          <w:rFonts w:ascii="Times New Roman" w:hAnsi="Times New Roman" w:cs="Times New Roman"/>
          <w:bCs/>
          <w:sz w:val="24"/>
          <w:szCs w:val="24"/>
        </w:rPr>
        <w:t>s</w:t>
      </w:r>
      <w:r w:rsidR="00F919D3">
        <w:rPr>
          <w:rFonts w:ascii="Times New Roman" w:hAnsi="Times New Roman" w:cs="Times New Roman"/>
          <w:bCs/>
          <w:sz w:val="24"/>
          <w:szCs w:val="24"/>
        </w:rPr>
        <w:t>, policies and rules</w:t>
      </w:r>
      <w:r w:rsidR="00CF098E">
        <w:rPr>
          <w:rFonts w:ascii="Times New Roman" w:hAnsi="Times New Roman" w:cs="Times New Roman"/>
          <w:bCs/>
          <w:sz w:val="24"/>
          <w:szCs w:val="24"/>
        </w:rPr>
        <w:t xml:space="preserve"> made under that legislation, it</w:t>
      </w:r>
      <w:r w:rsidR="00F919D3">
        <w:rPr>
          <w:rFonts w:ascii="Times New Roman" w:hAnsi="Times New Roman" w:cs="Times New Roman"/>
          <w:bCs/>
          <w:sz w:val="24"/>
          <w:szCs w:val="24"/>
        </w:rPr>
        <w:t xml:space="preserve"> is also partly governed by ext</w:t>
      </w:r>
      <w:r w:rsidR="00CF098E">
        <w:rPr>
          <w:rFonts w:ascii="Times New Roman" w:hAnsi="Times New Roman" w:cs="Times New Roman"/>
          <w:bCs/>
          <w:sz w:val="24"/>
          <w:szCs w:val="24"/>
        </w:rPr>
        <w:t>ernal state and commonwealth law.  T</w:t>
      </w:r>
      <w:r w:rsidR="00F919D3">
        <w:rPr>
          <w:rFonts w:ascii="Times New Roman" w:hAnsi="Times New Roman" w:cs="Times New Roman"/>
          <w:bCs/>
          <w:sz w:val="24"/>
          <w:szCs w:val="24"/>
        </w:rPr>
        <w:t xml:space="preserve">here is </w:t>
      </w:r>
      <w:r w:rsidR="00CF098E">
        <w:rPr>
          <w:rFonts w:ascii="Times New Roman" w:hAnsi="Times New Roman" w:cs="Times New Roman"/>
          <w:bCs/>
          <w:sz w:val="24"/>
          <w:szCs w:val="24"/>
        </w:rPr>
        <w:t xml:space="preserve">now </w:t>
      </w:r>
      <w:r w:rsidR="00F919D3">
        <w:rPr>
          <w:rFonts w:ascii="Times New Roman" w:hAnsi="Times New Roman" w:cs="Times New Roman"/>
          <w:bCs/>
          <w:sz w:val="24"/>
          <w:szCs w:val="24"/>
        </w:rPr>
        <w:t>an acceptance in the comparative jurisdictions th</w:t>
      </w:r>
      <w:r w:rsidR="00CF098E">
        <w:rPr>
          <w:rFonts w:ascii="Times New Roman" w:hAnsi="Times New Roman" w:cs="Times New Roman"/>
          <w:bCs/>
          <w:sz w:val="24"/>
          <w:szCs w:val="24"/>
        </w:rPr>
        <w:t xml:space="preserve">at the relationship is also </w:t>
      </w:r>
      <w:r w:rsidR="007D31BF">
        <w:rPr>
          <w:rFonts w:ascii="Times New Roman" w:hAnsi="Times New Roman" w:cs="Times New Roman"/>
          <w:bCs/>
          <w:sz w:val="24"/>
          <w:szCs w:val="24"/>
        </w:rPr>
        <w:t>based partly on contract.</w:t>
      </w:r>
      <w:r w:rsidR="00792F16">
        <w:rPr>
          <w:rStyle w:val="FootnoteReference"/>
          <w:bCs/>
          <w:sz w:val="24"/>
          <w:szCs w:val="24"/>
        </w:rPr>
        <w:footnoteReference w:id="88"/>
      </w:r>
      <w:r w:rsidR="007D31BF">
        <w:rPr>
          <w:rFonts w:ascii="Times New Roman" w:hAnsi="Times New Roman" w:cs="Times New Roman"/>
          <w:bCs/>
          <w:sz w:val="24"/>
          <w:szCs w:val="24"/>
        </w:rPr>
        <w:t xml:space="preserve">  While </w:t>
      </w:r>
      <w:r w:rsidR="0022498E">
        <w:rPr>
          <w:rFonts w:ascii="Times New Roman" w:hAnsi="Times New Roman" w:cs="Times New Roman"/>
          <w:bCs/>
          <w:sz w:val="24"/>
          <w:szCs w:val="24"/>
        </w:rPr>
        <w:t xml:space="preserve">there </w:t>
      </w:r>
      <w:r>
        <w:rPr>
          <w:rFonts w:ascii="Times New Roman" w:hAnsi="Times New Roman" w:cs="Times New Roman"/>
          <w:bCs/>
          <w:sz w:val="24"/>
          <w:szCs w:val="24"/>
        </w:rPr>
        <w:t xml:space="preserve">has in recent years been </w:t>
      </w:r>
      <w:r w:rsidR="0022498E">
        <w:rPr>
          <w:rFonts w:ascii="Times New Roman" w:hAnsi="Times New Roman" w:cs="Times New Roman"/>
          <w:bCs/>
          <w:sz w:val="24"/>
          <w:szCs w:val="24"/>
        </w:rPr>
        <w:t>some speculation by commentators</w:t>
      </w:r>
      <w:r>
        <w:rPr>
          <w:rFonts w:ascii="Times New Roman" w:hAnsi="Times New Roman" w:cs="Times New Roman"/>
          <w:bCs/>
          <w:sz w:val="24"/>
          <w:szCs w:val="24"/>
        </w:rPr>
        <w:t>,</w:t>
      </w:r>
      <w:r w:rsidR="0022498E">
        <w:rPr>
          <w:rFonts w:ascii="Times New Roman" w:hAnsi="Times New Roman" w:cs="Times New Roman"/>
          <w:bCs/>
          <w:sz w:val="24"/>
          <w:szCs w:val="24"/>
        </w:rPr>
        <w:t xml:space="preserve"> and </w:t>
      </w:r>
      <w:r>
        <w:rPr>
          <w:rFonts w:ascii="Times New Roman" w:hAnsi="Times New Roman" w:cs="Times New Roman"/>
          <w:bCs/>
          <w:sz w:val="24"/>
          <w:szCs w:val="24"/>
        </w:rPr>
        <w:t xml:space="preserve">a handful of </w:t>
      </w:r>
      <w:r w:rsidR="00C72F19">
        <w:rPr>
          <w:rFonts w:ascii="Times New Roman" w:hAnsi="Times New Roman" w:cs="Times New Roman"/>
          <w:bCs/>
          <w:sz w:val="24"/>
          <w:szCs w:val="24"/>
        </w:rPr>
        <w:t xml:space="preserve">cases which </w:t>
      </w:r>
      <w:r w:rsidR="007D31BF">
        <w:rPr>
          <w:rFonts w:ascii="Times New Roman" w:hAnsi="Times New Roman" w:cs="Times New Roman"/>
          <w:bCs/>
          <w:sz w:val="24"/>
          <w:szCs w:val="24"/>
        </w:rPr>
        <w:t>allud</w:t>
      </w:r>
      <w:r w:rsidR="00C72F19">
        <w:rPr>
          <w:rFonts w:ascii="Times New Roman" w:hAnsi="Times New Roman" w:cs="Times New Roman"/>
          <w:bCs/>
          <w:sz w:val="24"/>
          <w:szCs w:val="24"/>
        </w:rPr>
        <w:t>e</w:t>
      </w:r>
      <w:r>
        <w:rPr>
          <w:rFonts w:ascii="Times New Roman" w:hAnsi="Times New Roman" w:cs="Times New Roman"/>
          <w:bCs/>
          <w:sz w:val="24"/>
          <w:szCs w:val="24"/>
        </w:rPr>
        <w:t xml:space="preserve"> to a contractual </w:t>
      </w:r>
      <w:r w:rsidR="007D31BF">
        <w:rPr>
          <w:rFonts w:ascii="Times New Roman" w:hAnsi="Times New Roman" w:cs="Times New Roman"/>
          <w:bCs/>
          <w:sz w:val="24"/>
          <w:szCs w:val="24"/>
        </w:rPr>
        <w:t>relationship,</w:t>
      </w:r>
      <w:r w:rsidR="00C72F19">
        <w:rPr>
          <w:rStyle w:val="FootnoteReference"/>
          <w:bCs/>
          <w:sz w:val="24"/>
          <w:szCs w:val="24"/>
        </w:rPr>
        <w:footnoteReference w:id="89"/>
      </w:r>
      <w:r w:rsidR="0022498E">
        <w:rPr>
          <w:rFonts w:ascii="Times New Roman" w:hAnsi="Times New Roman" w:cs="Times New Roman"/>
          <w:bCs/>
          <w:sz w:val="24"/>
          <w:szCs w:val="24"/>
        </w:rPr>
        <w:t xml:space="preserve"> </w:t>
      </w:r>
      <w:r w:rsidR="007D31BF">
        <w:rPr>
          <w:rFonts w:ascii="Times New Roman" w:hAnsi="Times New Roman" w:cs="Times New Roman"/>
          <w:bCs/>
          <w:sz w:val="24"/>
          <w:szCs w:val="24"/>
        </w:rPr>
        <w:t xml:space="preserve">the courts in Australia are yet to definitively accept </w:t>
      </w:r>
      <w:r>
        <w:rPr>
          <w:rFonts w:ascii="Times New Roman" w:hAnsi="Times New Roman" w:cs="Times New Roman"/>
          <w:bCs/>
          <w:sz w:val="24"/>
          <w:szCs w:val="24"/>
        </w:rPr>
        <w:t xml:space="preserve">this </w:t>
      </w:r>
      <w:r w:rsidR="00F37845">
        <w:rPr>
          <w:rFonts w:ascii="Times New Roman" w:hAnsi="Times New Roman" w:cs="Times New Roman"/>
          <w:bCs/>
          <w:sz w:val="24"/>
          <w:szCs w:val="24"/>
        </w:rPr>
        <w:t>relationship as a matter of law</w:t>
      </w:r>
      <w:r w:rsidR="00F919D3">
        <w:rPr>
          <w:rFonts w:ascii="Times New Roman" w:hAnsi="Times New Roman" w:cs="Times New Roman"/>
          <w:bCs/>
          <w:sz w:val="24"/>
          <w:szCs w:val="24"/>
        </w:rPr>
        <w:t xml:space="preserve">.  </w:t>
      </w:r>
    </w:p>
    <w:p w:rsidR="00C0782D" w:rsidRDefault="00A52EF3" w:rsidP="00C0782D">
      <w:pPr>
        <w:spacing w:line="360" w:lineRule="auto"/>
        <w:rPr>
          <w:rFonts w:ascii="Times New Roman" w:hAnsi="Times New Roman" w:cs="Times New Roman"/>
          <w:bCs/>
          <w:sz w:val="24"/>
          <w:szCs w:val="24"/>
        </w:rPr>
      </w:pPr>
      <w:r w:rsidRPr="00C231EB">
        <w:rPr>
          <w:rFonts w:ascii="Times New Roman" w:hAnsi="Times New Roman" w:cs="Times New Roman"/>
          <w:sz w:val="24"/>
          <w:szCs w:val="24"/>
        </w:rPr>
        <w:t xml:space="preserve">The discussion has been of particular importance </w:t>
      </w:r>
      <w:r w:rsidR="002926E0">
        <w:rPr>
          <w:rFonts w:ascii="Times New Roman" w:hAnsi="Times New Roman" w:cs="Times New Roman"/>
          <w:sz w:val="24"/>
          <w:szCs w:val="24"/>
        </w:rPr>
        <w:t xml:space="preserve">both </w:t>
      </w:r>
      <w:r w:rsidRPr="00C231EB">
        <w:rPr>
          <w:rFonts w:ascii="Times New Roman" w:hAnsi="Times New Roman" w:cs="Times New Roman"/>
          <w:sz w:val="24"/>
          <w:szCs w:val="24"/>
        </w:rPr>
        <w:t>in considering the ability of students to question course quality and the delivery of desired outcomes</w:t>
      </w:r>
      <w:r w:rsidR="002926E0">
        <w:rPr>
          <w:rFonts w:ascii="Times New Roman" w:hAnsi="Times New Roman" w:cs="Times New Roman"/>
          <w:sz w:val="24"/>
          <w:szCs w:val="24"/>
        </w:rPr>
        <w:t xml:space="preserve"> and to the debate as to whether students can truly be positioned as ‘consumers’.   T</w:t>
      </w:r>
      <w:r w:rsidR="00C231EB">
        <w:rPr>
          <w:rFonts w:ascii="Times New Roman" w:hAnsi="Times New Roman" w:cs="Times New Roman"/>
          <w:sz w:val="24"/>
          <w:szCs w:val="24"/>
        </w:rPr>
        <w:t xml:space="preserve">he </w:t>
      </w:r>
      <w:r w:rsidR="002926E0">
        <w:rPr>
          <w:rFonts w:ascii="Times New Roman" w:hAnsi="Times New Roman" w:cs="Times New Roman"/>
          <w:sz w:val="24"/>
          <w:szCs w:val="24"/>
        </w:rPr>
        <w:t xml:space="preserve">discussion as to the </w:t>
      </w:r>
      <w:r w:rsidR="00C231EB">
        <w:rPr>
          <w:rFonts w:ascii="Times New Roman" w:hAnsi="Times New Roman" w:cs="Times New Roman"/>
          <w:sz w:val="24"/>
          <w:szCs w:val="24"/>
        </w:rPr>
        <w:t>particular nature of the relationship</w:t>
      </w:r>
      <w:r w:rsidR="002926E0">
        <w:rPr>
          <w:rFonts w:ascii="Times New Roman" w:hAnsi="Times New Roman" w:cs="Times New Roman"/>
          <w:sz w:val="24"/>
          <w:szCs w:val="24"/>
        </w:rPr>
        <w:t xml:space="preserve">, at least in the ‘consumer’ context, may be </w:t>
      </w:r>
      <w:r w:rsidR="00C231EB">
        <w:rPr>
          <w:rFonts w:ascii="Times New Roman" w:hAnsi="Times New Roman" w:cs="Times New Roman"/>
          <w:sz w:val="24"/>
          <w:szCs w:val="24"/>
        </w:rPr>
        <w:t>rendered</w:t>
      </w:r>
      <w:r w:rsidR="003A737B">
        <w:rPr>
          <w:rFonts w:ascii="Times New Roman" w:hAnsi="Times New Roman" w:cs="Times New Roman"/>
          <w:bCs/>
          <w:sz w:val="24"/>
          <w:szCs w:val="24"/>
        </w:rPr>
        <w:t xml:space="preserve"> </w:t>
      </w:r>
      <w:r w:rsidR="002926E0">
        <w:rPr>
          <w:rFonts w:ascii="Times New Roman" w:hAnsi="Times New Roman" w:cs="Times New Roman"/>
          <w:bCs/>
          <w:sz w:val="24"/>
          <w:szCs w:val="24"/>
        </w:rPr>
        <w:t xml:space="preserve">largely </w:t>
      </w:r>
      <w:r w:rsidR="003A737B">
        <w:rPr>
          <w:rFonts w:ascii="Times New Roman" w:hAnsi="Times New Roman" w:cs="Times New Roman"/>
          <w:bCs/>
          <w:sz w:val="24"/>
          <w:szCs w:val="24"/>
        </w:rPr>
        <w:t>redundant</w:t>
      </w:r>
      <w:r w:rsidR="002926E0">
        <w:rPr>
          <w:rFonts w:ascii="Times New Roman" w:hAnsi="Times New Roman" w:cs="Times New Roman"/>
          <w:bCs/>
          <w:sz w:val="24"/>
          <w:szCs w:val="24"/>
        </w:rPr>
        <w:t xml:space="preserve"> by</w:t>
      </w:r>
      <w:r w:rsidR="003A737B">
        <w:rPr>
          <w:rFonts w:ascii="Times New Roman" w:hAnsi="Times New Roman" w:cs="Times New Roman"/>
          <w:bCs/>
          <w:sz w:val="24"/>
          <w:szCs w:val="24"/>
        </w:rPr>
        <w:t xml:space="preserve"> </w:t>
      </w:r>
      <w:r w:rsidR="00C231EB">
        <w:rPr>
          <w:rFonts w:ascii="Times New Roman" w:hAnsi="Times New Roman" w:cs="Times New Roman"/>
          <w:bCs/>
          <w:sz w:val="24"/>
          <w:szCs w:val="24"/>
        </w:rPr>
        <w:t xml:space="preserve">changes in the consumer protection regime in Australia which make it </w:t>
      </w:r>
      <w:r w:rsidR="002C4C29">
        <w:rPr>
          <w:rFonts w:ascii="Times New Roman" w:hAnsi="Times New Roman" w:cs="Times New Roman"/>
          <w:bCs/>
          <w:sz w:val="24"/>
          <w:szCs w:val="24"/>
        </w:rPr>
        <w:t>more readily avai</w:t>
      </w:r>
      <w:r w:rsidR="00C231EB">
        <w:rPr>
          <w:rFonts w:ascii="Times New Roman" w:hAnsi="Times New Roman" w:cs="Times New Roman"/>
          <w:bCs/>
          <w:sz w:val="24"/>
          <w:szCs w:val="24"/>
        </w:rPr>
        <w:t xml:space="preserve">lable to students in pursuing this kind of </w:t>
      </w:r>
      <w:r w:rsidR="002C4C29">
        <w:rPr>
          <w:rFonts w:ascii="Times New Roman" w:hAnsi="Times New Roman" w:cs="Times New Roman"/>
          <w:bCs/>
          <w:sz w:val="24"/>
          <w:szCs w:val="24"/>
        </w:rPr>
        <w:t xml:space="preserve">grievance against their university.  The new national regime of Australian Consumer Law (ACL) provides, in Schedule 2 of the (CTH) </w:t>
      </w:r>
      <w:r w:rsidR="002C4C29">
        <w:rPr>
          <w:rFonts w:ascii="Times New Roman" w:hAnsi="Times New Roman" w:cs="Times New Roman"/>
          <w:bCs/>
          <w:i/>
          <w:sz w:val="24"/>
          <w:szCs w:val="24"/>
        </w:rPr>
        <w:t>Competition and Consumer Act 2010,</w:t>
      </w:r>
      <w:r w:rsidR="002C4C29">
        <w:rPr>
          <w:rFonts w:ascii="Times New Roman" w:hAnsi="Times New Roman" w:cs="Times New Roman"/>
          <w:bCs/>
          <w:sz w:val="24"/>
          <w:szCs w:val="24"/>
        </w:rPr>
        <w:t xml:space="preserve"> for its application to the supply of education services by higher education providers. </w:t>
      </w:r>
      <w:r w:rsidR="00C0782D">
        <w:rPr>
          <w:rFonts w:ascii="Times New Roman" w:hAnsi="Times New Roman" w:cs="Times New Roman"/>
          <w:bCs/>
          <w:sz w:val="24"/>
          <w:szCs w:val="24"/>
        </w:rPr>
        <w:t>The statutory guarantees introduced by the new consumer regime are not dependent on a contract for enforcement and thus have greater potential for student availability.  The guarantees in respect of services, which include ‘instructional’ services, state that the services shall be rendered with due care and skill, and that they will be of a nature, quality, state or condition that they may reasonably be expected to be fit for any purpose made known by the ‘consumer’.</w:t>
      </w:r>
      <w:r w:rsidR="00C0782D">
        <w:rPr>
          <w:rStyle w:val="FootnoteReference"/>
          <w:bCs/>
          <w:sz w:val="24"/>
          <w:szCs w:val="24"/>
        </w:rPr>
        <w:footnoteReference w:id="90"/>
      </w:r>
    </w:p>
    <w:p w:rsidR="00FD3301" w:rsidRDefault="0022498E" w:rsidP="000634CB">
      <w:pPr>
        <w:spacing w:line="360" w:lineRule="auto"/>
        <w:rPr>
          <w:rFonts w:ascii="Times New Roman" w:hAnsi="Times New Roman" w:cs="Times New Roman"/>
          <w:bCs/>
          <w:sz w:val="24"/>
          <w:szCs w:val="24"/>
        </w:rPr>
      </w:pPr>
      <w:r>
        <w:rPr>
          <w:rFonts w:ascii="Times New Roman" w:hAnsi="Times New Roman" w:cs="Times New Roman"/>
          <w:bCs/>
          <w:sz w:val="24"/>
          <w:szCs w:val="24"/>
        </w:rPr>
        <w:t>Hitherto, i</w:t>
      </w:r>
      <w:r w:rsidR="002C4C29">
        <w:rPr>
          <w:rFonts w:ascii="Times New Roman" w:hAnsi="Times New Roman" w:cs="Times New Roman"/>
          <w:bCs/>
          <w:sz w:val="24"/>
          <w:szCs w:val="24"/>
        </w:rPr>
        <w:t>t has generally been accepted by courts and tribunals that the ‘misleading and deceptive’ provisions of state and federal consumer legislation</w:t>
      </w:r>
      <w:r w:rsidR="002C4C29">
        <w:rPr>
          <w:rStyle w:val="FootnoteReference"/>
          <w:bCs/>
          <w:sz w:val="24"/>
          <w:szCs w:val="24"/>
        </w:rPr>
        <w:footnoteReference w:id="91"/>
      </w:r>
      <w:r w:rsidR="002C4C29">
        <w:rPr>
          <w:rFonts w:ascii="Times New Roman" w:hAnsi="Times New Roman" w:cs="Times New Roman"/>
          <w:bCs/>
          <w:sz w:val="24"/>
          <w:szCs w:val="24"/>
        </w:rPr>
        <w:t xml:space="preserve"> apply to higher education but historically students’ actions have been defeated by their failure to prove loss.</w:t>
      </w:r>
      <w:r w:rsidR="002C4C29">
        <w:rPr>
          <w:rStyle w:val="FootnoteReference"/>
          <w:bCs/>
          <w:sz w:val="24"/>
          <w:szCs w:val="24"/>
        </w:rPr>
        <w:footnoteReference w:id="92"/>
      </w:r>
      <w:r w:rsidR="002E6CFD">
        <w:rPr>
          <w:rFonts w:ascii="Times New Roman" w:hAnsi="Times New Roman" w:cs="Times New Roman"/>
          <w:bCs/>
          <w:sz w:val="24"/>
          <w:szCs w:val="24"/>
        </w:rPr>
        <w:t xml:space="preserve">  </w:t>
      </w:r>
      <w:r w:rsidR="00C0782D">
        <w:rPr>
          <w:rFonts w:ascii="Times New Roman" w:hAnsi="Times New Roman" w:cs="Times New Roman"/>
          <w:bCs/>
          <w:sz w:val="24"/>
          <w:szCs w:val="24"/>
        </w:rPr>
        <w:t>The new legislation does not remove the difficulties for a court or tribunal in identifying and quantifying a student’s loss suffered as a result of deficiencies in the service or inaccuracies in information.  Undoubtedly however, university administrators and judicial bodies are likely to see more threats and actions based on the ‘student as consumer’ concept.</w:t>
      </w:r>
      <w:r w:rsidR="00C0782D">
        <w:rPr>
          <w:rStyle w:val="FootnoteReference"/>
          <w:bCs/>
          <w:sz w:val="24"/>
          <w:szCs w:val="24"/>
        </w:rPr>
        <w:footnoteReference w:id="93"/>
      </w:r>
    </w:p>
    <w:p w:rsidR="005010EA" w:rsidRPr="00A52EF3" w:rsidRDefault="005010EA" w:rsidP="000634CB">
      <w:pPr>
        <w:spacing w:line="360" w:lineRule="auto"/>
        <w:rPr>
          <w:rFonts w:ascii="TimesNewRomanPSMT" w:hAnsi="TimesNewRomanPSMT" w:cs="TimesNewRomanPSMT"/>
          <w:sz w:val="20"/>
          <w:szCs w:val="20"/>
        </w:rPr>
      </w:pPr>
      <w:r>
        <w:rPr>
          <w:rFonts w:ascii="Times New Roman" w:hAnsi="Times New Roman" w:cs="Times New Roman"/>
          <w:bCs/>
          <w:sz w:val="24"/>
          <w:szCs w:val="24"/>
        </w:rPr>
        <w:t>Closely related are the many issues relating to student dissatisfaction with university decisions and student misconduct.</w:t>
      </w:r>
    </w:p>
    <w:p w:rsidR="002062EB" w:rsidRDefault="002062EB" w:rsidP="002E281B">
      <w:pPr>
        <w:spacing w:line="360" w:lineRule="auto"/>
        <w:rPr>
          <w:rFonts w:ascii="Times New Roman" w:hAnsi="Times New Roman" w:cs="Times New Roman"/>
          <w:b/>
          <w:bCs/>
          <w:sz w:val="24"/>
          <w:szCs w:val="24"/>
        </w:rPr>
      </w:pPr>
      <w:r>
        <w:rPr>
          <w:rFonts w:ascii="Times New Roman" w:hAnsi="Times New Roman" w:cs="Times New Roman"/>
          <w:b/>
          <w:bCs/>
          <w:sz w:val="24"/>
          <w:szCs w:val="24"/>
        </w:rPr>
        <w:t>Student Grievances and misconduct matters</w:t>
      </w:r>
    </w:p>
    <w:p w:rsidR="00CE57CD" w:rsidRPr="00B6620A" w:rsidRDefault="00CE57CD" w:rsidP="002E281B">
      <w:pPr>
        <w:spacing w:line="360" w:lineRule="auto"/>
        <w:rPr>
          <w:rFonts w:ascii="Times New Roman" w:hAnsi="Times New Roman" w:cs="Times New Roman"/>
          <w:sz w:val="24"/>
          <w:szCs w:val="24"/>
        </w:rPr>
      </w:pPr>
      <w:r>
        <w:rPr>
          <w:rFonts w:ascii="Times New Roman" w:hAnsi="Times New Roman" w:cs="Times New Roman"/>
          <w:sz w:val="24"/>
          <w:szCs w:val="24"/>
        </w:rPr>
        <w:t>The University Visitor has a long tradition, inherited from the UK university system, of being the body responsible for the internal resolution of disputes between universities</w:t>
      </w:r>
      <w:r w:rsidR="00F37845">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F37845">
        <w:rPr>
          <w:rFonts w:ascii="Times New Roman" w:hAnsi="Times New Roman" w:cs="Times New Roman"/>
          <w:sz w:val="24"/>
          <w:szCs w:val="24"/>
        </w:rPr>
        <w:t xml:space="preserve">their members (their students </w:t>
      </w:r>
      <w:r>
        <w:rPr>
          <w:rFonts w:ascii="Times New Roman" w:hAnsi="Times New Roman" w:cs="Times New Roman"/>
          <w:sz w:val="24"/>
          <w:szCs w:val="24"/>
        </w:rPr>
        <w:t>and staff).</w:t>
      </w:r>
      <w:r w:rsidR="007B4843">
        <w:rPr>
          <w:rStyle w:val="FootnoteReference"/>
          <w:sz w:val="24"/>
          <w:szCs w:val="24"/>
        </w:rPr>
        <w:footnoteReference w:id="94"/>
      </w:r>
      <w:r>
        <w:rPr>
          <w:rFonts w:ascii="Times New Roman" w:hAnsi="Times New Roman" w:cs="Times New Roman"/>
          <w:sz w:val="24"/>
          <w:szCs w:val="24"/>
        </w:rPr>
        <w:t xml:space="preserve"> </w:t>
      </w:r>
      <w:r w:rsidRPr="00B6620A">
        <w:rPr>
          <w:rFonts w:ascii="Times New Roman" w:hAnsi="Times New Roman" w:cs="Times New Roman"/>
          <w:sz w:val="24"/>
          <w:szCs w:val="24"/>
        </w:rPr>
        <w:t xml:space="preserve">The founding statutes of many </w:t>
      </w:r>
      <w:r>
        <w:rPr>
          <w:rFonts w:ascii="Times New Roman" w:hAnsi="Times New Roman" w:cs="Times New Roman"/>
          <w:sz w:val="24"/>
          <w:szCs w:val="24"/>
        </w:rPr>
        <w:t xml:space="preserve">Australia </w:t>
      </w:r>
      <w:r w:rsidRPr="00B6620A">
        <w:rPr>
          <w:rFonts w:ascii="Times New Roman" w:hAnsi="Times New Roman" w:cs="Times New Roman"/>
          <w:sz w:val="24"/>
          <w:szCs w:val="24"/>
        </w:rPr>
        <w:t xml:space="preserve">universities </w:t>
      </w:r>
      <w:r>
        <w:rPr>
          <w:rFonts w:ascii="Times New Roman" w:hAnsi="Times New Roman" w:cs="Times New Roman"/>
          <w:sz w:val="24"/>
          <w:szCs w:val="24"/>
        </w:rPr>
        <w:t xml:space="preserve">still </w:t>
      </w:r>
      <w:r w:rsidRPr="00B6620A">
        <w:rPr>
          <w:rFonts w:ascii="Times New Roman" w:hAnsi="Times New Roman" w:cs="Times New Roman"/>
          <w:sz w:val="24"/>
          <w:szCs w:val="24"/>
        </w:rPr>
        <w:t>ma</w:t>
      </w:r>
      <w:r w:rsidR="00F37845">
        <w:rPr>
          <w:rFonts w:ascii="Times New Roman" w:hAnsi="Times New Roman" w:cs="Times New Roman"/>
          <w:sz w:val="24"/>
          <w:szCs w:val="24"/>
        </w:rPr>
        <w:t>ke provision for the office of V</w:t>
      </w:r>
      <w:r w:rsidRPr="00B6620A">
        <w:rPr>
          <w:rFonts w:ascii="Times New Roman" w:hAnsi="Times New Roman" w:cs="Times New Roman"/>
          <w:sz w:val="24"/>
          <w:szCs w:val="24"/>
        </w:rPr>
        <w:t>isitor</w:t>
      </w:r>
      <w:r w:rsidR="00F37845">
        <w:rPr>
          <w:rFonts w:ascii="Times New Roman" w:hAnsi="Times New Roman" w:cs="Times New Roman"/>
          <w:sz w:val="24"/>
          <w:szCs w:val="24"/>
        </w:rPr>
        <w:t>, with t</w:t>
      </w:r>
      <w:r w:rsidRPr="00B6620A">
        <w:rPr>
          <w:rFonts w:ascii="Times New Roman" w:hAnsi="Times New Roman" w:cs="Times New Roman"/>
          <w:sz w:val="24"/>
          <w:szCs w:val="24"/>
        </w:rPr>
        <w:t xml:space="preserve">he Governor in the relevant jurisdiction </w:t>
      </w:r>
      <w:r w:rsidR="00F37845">
        <w:rPr>
          <w:rFonts w:ascii="Times New Roman" w:hAnsi="Times New Roman" w:cs="Times New Roman"/>
          <w:sz w:val="24"/>
          <w:szCs w:val="24"/>
        </w:rPr>
        <w:t xml:space="preserve">being in that role </w:t>
      </w:r>
      <w:r w:rsidRPr="00B6620A">
        <w:rPr>
          <w:rFonts w:ascii="Times New Roman" w:hAnsi="Times New Roman" w:cs="Times New Roman"/>
          <w:sz w:val="24"/>
          <w:szCs w:val="24"/>
        </w:rPr>
        <w:t xml:space="preserve">in </w:t>
      </w:r>
      <w:r w:rsidR="00F37845">
        <w:rPr>
          <w:rFonts w:ascii="Times New Roman" w:hAnsi="Times New Roman" w:cs="Times New Roman"/>
          <w:sz w:val="24"/>
          <w:szCs w:val="24"/>
        </w:rPr>
        <w:t>the case of public universities</w:t>
      </w:r>
      <w:r w:rsidRPr="00B6620A">
        <w:rPr>
          <w:rFonts w:ascii="Times New Roman" w:hAnsi="Times New Roman" w:cs="Times New Roman"/>
          <w:sz w:val="24"/>
          <w:szCs w:val="24"/>
        </w:rPr>
        <w:t>.</w:t>
      </w:r>
    </w:p>
    <w:p w:rsidR="00CE57CD" w:rsidRPr="00B6620A" w:rsidRDefault="00CE57CD" w:rsidP="002E281B">
      <w:pPr>
        <w:spacing w:before="120" w:line="360" w:lineRule="auto"/>
        <w:rPr>
          <w:rFonts w:ascii="Times New Roman" w:hAnsi="Times New Roman" w:cs="Times New Roman"/>
          <w:sz w:val="24"/>
          <w:szCs w:val="24"/>
        </w:rPr>
      </w:pPr>
      <w:r>
        <w:rPr>
          <w:rFonts w:ascii="Times New Roman" w:hAnsi="Times New Roman" w:cs="Times New Roman"/>
          <w:sz w:val="24"/>
          <w:szCs w:val="24"/>
        </w:rPr>
        <w:t>However, i</w:t>
      </w:r>
      <w:r w:rsidRPr="00B6620A">
        <w:rPr>
          <w:rFonts w:ascii="Times New Roman" w:hAnsi="Times New Roman" w:cs="Times New Roman"/>
          <w:sz w:val="24"/>
          <w:szCs w:val="24"/>
        </w:rPr>
        <w:t xml:space="preserve">n most universities, the visitorial jurisdiction to deal with internal disputes has </w:t>
      </w:r>
      <w:r>
        <w:rPr>
          <w:rFonts w:ascii="Times New Roman" w:hAnsi="Times New Roman" w:cs="Times New Roman"/>
          <w:sz w:val="24"/>
          <w:szCs w:val="24"/>
        </w:rPr>
        <w:t xml:space="preserve">now </w:t>
      </w:r>
      <w:r w:rsidR="00F37845">
        <w:rPr>
          <w:rFonts w:ascii="Times New Roman" w:hAnsi="Times New Roman" w:cs="Times New Roman"/>
          <w:sz w:val="24"/>
          <w:szCs w:val="24"/>
        </w:rPr>
        <w:t>been removed and the V</w:t>
      </w:r>
      <w:r w:rsidRPr="00B6620A">
        <w:rPr>
          <w:rFonts w:ascii="Times New Roman" w:hAnsi="Times New Roman" w:cs="Times New Roman"/>
          <w:sz w:val="24"/>
          <w:szCs w:val="24"/>
        </w:rPr>
        <w:t>isitor has merely a ceremonial role. Where the visito</w:t>
      </w:r>
      <w:r w:rsidR="00F37845">
        <w:rPr>
          <w:rFonts w:ascii="Times New Roman" w:hAnsi="Times New Roman" w:cs="Times New Roman"/>
          <w:sz w:val="24"/>
          <w:szCs w:val="24"/>
        </w:rPr>
        <w:t>rial jurisdiction remains, the V</w:t>
      </w:r>
      <w:r w:rsidRPr="00B6620A">
        <w:rPr>
          <w:rFonts w:ascii="Times New Roman" w:hAnsi="Times New Roman" w:cs="Times New Roman"/>
          <w:sz w:val="24"/>
          <w:szCs w:val="24"/>
        </w:rPr>
        <w:t>isitor may deal with disputes arising from the interpretation and administration of the university's internal statutes, ordinances or regulations, and has the power to right a wrong done to a member or holder of office in the univ</w:t>
      </w:r>
      <w:r w:rsidR="00731F04">
        <w:rPr>
          <w:rFonts w:ascii="Times New Roman" w:hAnsi="Times New Roman" w:cs="Times New Roman"/>
          <w:sz w:val="24"/>
          <w:szCs w:val="24"/>
        </w:rPr>
        <w:t>ersity, but not to deal generally with</w:t>
      </w:r>
      <w:r w:rsidRPr="00B6620A">
        <w:rPr>
          <w:rFonts w:ascii="Times New Roman" w:hAnsi="Times New Roman" w:cs="Times New Roman"/>
          <w:sz w:val="24"/>
          <w:szCs w:val="24"/>
        </w:rPr>
        <w:t xml:space="preserve"> rights and liabilities</w:t>
      </w:r>
      <w:r w:rsidR="00731F04">
        <w:rPr>
          <w:rFonts w:ascii="Times New Roman" w:hAnsi="Times New Roman" w:cs="Times New Roman"/>
          <w:sz w:val="24"/>
          <w:szCs w:val="24"/>
        </w:rPr>
        <w:t>.</w:t>
      </w:r>
      <w:r>
        <w:rPr>
          <w:rStyle w:val="FootnoteReference"/>
          <w:sz w:val="24"/>
          <w:szCs w:val="24"/>
        </w:rPr>
        <w:footnoteReference w:id="95"/>
      </w:r>
    </w:p>
    <w:p w:rsidR="00377F42" w:rsidRDefault="006C5031" w:rsidP="0022498E">
      <w:pPr>
        <w:spacing w:line="360" w:lineRule="auto"/>
        <w:rPr>
          <w:rFonts w:ascii="Times New Roman" w:hAnsi="Times New Roman" w:cs="Times New Roman"/>
          <w:sz w:val="24"/>
          <w:szCs w:val="24"/>
        </w:rPr>
      </w:pPr>
      <w:r w:rsidRPr="00250A2E">
        <w:rPr>
          <w:rFonts w:ascii="Times New Roman" w:hAnsi="Times New Roman" w:cs="Times New Roman"/>
          <w:sz w:val="24"/>
          <w:szCs w:val="24"/>
        </w:rPr>
        <w:t>A</w:t>
      </w:r>
      <w:r w:rsidR="0022498E">
        <w:rPr>
          <w:rFonts w:ascii="Times New Roman" w:hAnsi="Times New Roman" w:cs="Times New Roman"/>
          <w:sz w:val="24"/>
          <w:szCs w:val="24"/>
        </w:rPr>
        <w:t xml:space="preserve"> cursory</w:t>
      </w:r>
      <w:r w:rsidRPr="00250A2E">
        <w:rPr>
          <w:rFonts w:ascii="Times New Roman" w:hAnsi="Times New Roman" w:cs="Times New Roman"/>
          <w:sz w:val="24"/>
          <w:szCs w:val="24"/>
        </w:rPr>
        <w:t xml:space="preserve"> look through the reports of Australian state and federal courts and tribunals reveal</w:t>
      </w:r>
      <w:r w:rsidR="0022498E">
        <w:rPr>
          <w:rFonts w:ascii="Times New Roman" w:hAnsi="Times New Roman" w:cs="Times New Roman"/>
          <w:sz w:val="24"/>
          <w:szCs w:val="24"/>
        </w:rPr>
        <w:t>s</w:t>
      </w:r>
      <w:r w:rsidRPr="00250A2E">
        <w:rPr>
          <w:rFonts w:ascii="Times New Roman" w:hAnsi="Times New Roman" w:cs="Times New Roman"/>
          <w:sz w:val="24"/>
          <w:szCs w:val="24"/>
        </w:rPr>
        <w:t xml:space="preserve"> </w:t>
      </w:r>
      <w:r w:rsidR="0022498E">
        <w:rPr>
          <w:rFonts w:ascii="Times New Roman" w:hAnsi="Times New Roman" w:cs="Times New Roman"/>
          <w:sz w:val="24"/>
          <w:szCs w:val="24"/>
        </w:rPr>
        <w:t xml:space="preserve">a not inconsiderable number of </w:t>
      </w:r>
      <w:r w:rsidRPr="00250A2E">
        <w:rPr>
          <w:rFonts w:ascii="Times New Roman" w:hAnsi="Times New Roman" w:cs="Times New Roman"/>
          <w:sz w:val="24"/>
          <w:szCs w:val="24"/>
        </w:rPr>
        <w:t>student challenges to all manner of decisions made by universities.  These include those relating to</w:t>
      </w:r>
      <w:r w:rsidR="0022498E">
        <w:rPr>
          <w:rFonts w:ascii="Times New Roman" w:hAnsi="Times New Roman" w:cs="Times New Roman"/>
          <w:sz w:val="24"/>
          <w:szCs w:val="24"/>
        </w:rPr>
        <w:t xml:space="preserve"> </w:t>
      </w:r>
      <w:r w:rsidRPr="00250A2E">
        <w:rPr>
          <w:rFonts w:ascii="Times New Roman" w:hAnsi="Times New Roman" w:cs="Times New Roman"/>
          <w:sz w:val="24"/>
          <w:szCs w:val="24"/>
        </w:rPr>
        <w:t>admission, course content, assessment, academic progress and misconduct.   Equally, there is a wide variety of courses of action which students pursue.</w:t>
      </w:r>
      <w:r w:rsidR="0022498E">
        <w:rPr>
          <w:rStyle w:val="FootnoteReference"/>
          <w:sz w:val="24"/>
          <w:szCs w:val="24"/>
        </w:rPr>
        <w:footnoteReference w:id="96"/>
      </w:r>
      <w:r w:rsidRPr="00250A2E">
        <w:rPr>
          <w:rFonts w:ascii="Times New Roman" w:hAnsi="Times New Roman" w:cs="Times New Roman"/>
          <w:sz w:val="24"/>
          <w:szCs w:val="24"/>
        </w:rPr>
        <w:t xml:space="preserve">  Against public universities there</w:t>
      </w:r>
      <w:r w:rsidR="00EB3E5F">
        <w:rPr>
          <w:rFonts w:ascii="Times New Roman" w:hAnsi="Times New Roman" w:cs="Times New Roman"/>
          <w:sz w:val="24"/>
          <w:szCs w:val="24"/>
        </w:rPr>
        <w:t xml:space="preserve"> is the public law</w:t>
      </w:r>
      <w:r w:rsidRPr="00250A2E">
        <w:rPr>
          <w:rFonts w:ascii="Times New Roman" w:hAnsi="Times New Roman" w:cs="Times New Roman"/>
          <w:sz w:val="24"/>
          <w:szCs w:val="24"/>
        </w:rPr>
        <w:t xml:space="preserve"> Application for Judic</w:t>
      </w:r>
      <w:r w:rsidR="00377F42">
        <w:rPr>
          <w:rFonts w:ascii="Times New Roman" w:hAnsi="Times New Roman" w:cs="Times New Roman"/>
          <w:sz w:val="24"/>
          <w:szCs w:val="24"/>
        </w:rPr>
        <w:t xml:space="preserve">ial Review.  However, though finding acceptance in </w:t>
      </w:r>
      <w:r w:rsidRPr="00250A2E">
        <w:rPr>
          <w:rFonts w:ascii="Times New Roman" w:hAnsi="Times New Roman" w:cs="Times New Roman"/>
          <w:sz w:val="24"/>
          <w:szCs w:val="24"/>
        </w:rPr>
        <w:t xml:space="preserve">the state courts, the High Court affectively closed that availability to students in the case of </w:t>
      </w:r>
      <w:r w:rsidR="00377F42">
        <w:rPr>
          <w:rFonts w:ascii="Times New Roman" w:hAnsi="Times New Roman" w:cs="Times New Roman"/>
          <w:i/>
          <w:sz w:val="24"/>
          <w:szCs w:val="24"/>
        </w:rPr>
        <w:t>Griffith University v Tang,</w:t>
      </w:r>
      <w:r w:rsidR="002C7963">
        <w:rPr>
          <w:rStyle w:val="FootnoteReference"/>
          <w:i/>
          <w:sz w:val="24"/>
          <w:szCs w:val="24"/>
        </w:rPr>
        <w:footnoteReference w:id="97"/>
      </w:r>
      <w:r w:rsidRPr="00250A2E">
        <w:rPr>
          <w:rFonts w:ascii="Times New Roman" w:hAnsi="Times New Roman" w:cs="Times New Roman"/>
          <w:i/>
          <w:sz w:val="24"/>
          <w:szCs w:val="24"/>
        </w:rPr>
        <w:t xml:space="preserve"> </w:t>
      </w:r>
      <w:r w:rsidR="00377F42">
        <w:rPr>
          <w:rFonts w:ascii="Times New Roman" w:hAnsi="Times New Roman" w:cs="Times New Roman"/>
          <w:sz w:val="24"/>
          <w:szCs w:val="24"/>
        </w:rPr>
        <w:t>at least in relation to Commonwealth and Queensland legislation governing judicial review.  The majority of Judges there found that</w:t>
      </w:r>
      <w:r w:rsidRPr="00250A2E">
        <w:rPr>
          <w:rFonts w:ascii="Times New Roman" w:hAnsi="Times New Roman" w:cs="Times New Roman"/>
          <w:i/>
          <w:sz w:val="24"/>
          <w:szCs w:val="24"/>
        </w:rPr>
        <w:t xml:space="preserve"> </w:t>
      </w:r>
      <w:r w:rsidR="00377F42">
        <w:rPr>
          <w:rFonts w:ascii="Times New Roman" w:hAnsi="Times New Roman" w:cs="Times New Roman"/>
          <w:sz w:val="24"/>
          <w:szCs w:val="24"/>
        </w:rPr>
        <w:t>decisions made pursuant to university policies and processes were not ‘administrative decisions’ made ‘under an enactment’ so as to be challengeable in public law.</w:t>
      </w:r>
      <w:r w:rsidR="00377F42">
        <w:rPr>
          <w:rStyle w:val="FootnoteReference"/>
          <w:sz w:val="24"/>
          <w:szCs w:val="24"/>
        </w:rPr>
        <w:footnoteReference w:id="98"/>
      </w:r>
      <w:r w:rsidR="00377F42">
        <w:rPr>
          <w:rFonts w:ascii="Times New Roman" w:hAnsi="Times New Roman" w:cs="Times New Roman"/>
          <w:sz w:val="24"/>
          <w:szCs w:val="24"/>
        </w:rPr>
        <w:t xml:space="preserve"> </w:t>
      </w:r>
    </w:p>
    <w:p w:rsidR="00432C13" w:rsidRDefault="00377F42" w:rsidP="0022498E">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 may well be however the ability for Australian students to challenge university decisions at common law or </w:t>
      </w:r>
      <w:r w:rsidR="00432C13">
        <w:rPr>
          <w:rFonts w:ascii="Times New Roman" w:hAnsi="Times New Roman" w:cs="Times New Roman"/>
          <w:sz w:val="24"/>
          <w:szCs w:val="24"/>
        </w:rPr>
        <w:t xml:space="preserve">in specific instances </w:t>
      </w:r>
      <w:r>
        <w:rPr>
          <w:rFonts w:ascii="Times New Roman" w:hAnsi="Times New Roman" w:cs="Times New Roman"/>
          <w:sz w:val="24"/>
          <w:szCs w:val="24"/>
        </w:rPr>
        <w:t>under other enactments</w:t>
      </w:r>
      <w:r w:rsidR="00432C13">
        <w:rPr>
          <w:rFonts w:ascii="Times New Roman" w:hAnsi="Times New Roman" w:cs="Times New Roman"/>
          <w:sz w:val="24"/>
          <w:szCs w:val="24"/>
        </w:rPr>
        <w:t>, for example under Commonwealth or State freedom of information or privacy legislation.</w:t>
      </w:r>
      <w:r w:rsidR="00432C13">
        <w:rPr>
          <w:rStyle w:val="FootnoteReference"/>
          <w:sz w:val="24"/>
          <w:szCs w:val="24"/>
        </w:rPr>
        <w:footnoteReference w:id="99"/>
      </w:r>
      <w:r w:rsidR="00432C13">
        <w:rPr>
          <w:rFonts w:ascii="Times New Roman" w:hAnsi="Times New Roman" w:cs="Times New Roman"/>
          <w:sz w:val="24"/>
          <w:szCs w:val="24"/>
        </w:rPr>
        <w:t xml:space="preserve"> Consistent with judicial authority elsewhere, Australian courts and tribunals are disinclined to allow judicial scrutiny of decisions involving academic judgement or assessment.</w:t>
      </w:r>
      <w:r w:rsidR="00432C13">
        <w:rPr>
          <w:rStyle w:val="FootnoteReference"/>
          <w:sz w:val="24"/>
          <w:szCs w:val="24"/>
        </w:rPr>
        <w:footnoteReference w:id="100"/>
      </w:r>
      <w:r w:rsidR="00432C13">
        <w:rPr>
          <w:rFonts w:ascii="Times New Roman" w:hAnsi="Times New Roman" w:cs="Times New Roman"/>
          <w:sz w:val="24"/>
          <w:szCs w:val="24"/>
        </w:rPr>
        <w:t xml:space="preserve"> </w:t>
      </w:r>
      <w:r w:rsidR="00EB3E5F">
        <w:rPr>
          <w:rFonts w:ascii="Times New Roman" w:hAnsi="Times New Roman" w:cs="Times New Roman"/>
          <w:sz w:val="24"/>
          <w:szCs w:val="24"/>
        </w:rPr>
        <w:t xml:space="preserve">A handful of students have taken </w:t>
      </w:r>
      <w:r w:rsidR="006C5031" w:rsidRPr="00250A2E">
        <w:rPr>
          <w:rFonts w:ascii="Times New Roman" w:hAnsi="Times New Roman" w:cs="Times New Roman"/>
          <w:sz w:val="24"/>
          <w:szCs w:val="24"/>
        </w:rPr>
        <w:t>private law</w:t>
      </w:r>
      <w:r w:rsidR="00EB3E5F">
        <w:rPr>
          <w:rFonts w:ascii="Times New Roman" w:hAnsi="Times New Roman" w:cs="Times New Roman"/>
          <w:sz w:val="24"/>
          <w:szCs w:val="24"/>
        </w:rPr>
        <w:t xml:space="preserve"> suits in </w:t>
      </w:r>
      <w:r w:rsidR="006C5031" w:rsidRPr="00250A2E">
        <w:rPr>
          <w:rFonts w:ascii="Times New Roman" w:hAnsi="Times New Roman" w:cs="Times New Roman"/>
          <w:sz w:val="24"/>
          <w:szCs w:val="24"/>
        </w:rPr>
        <w:t>negligence</w:t>
      </w:r>
      <w:r w:rsidR="00EB3E5F">
        <w:rPr>
          <w:rFonts w:ascii="Times New Roman" w:hAnsi="Times New Roman" w:cs="Times New Roman"/>
          <w:sz w:val="24"/>
          <w:szCs w:val="24"/>
        </w:rPr>
        <w:t xml:space="preserve"> with almost universal lack of success.  I</w:t>
      </w:r>
      <w:r w:rsidR="006C5031" w:rsidRPr="00250A2E">
        <w:rPr>
          <w:rFonts w:ascii="Times New Roman" w:hAnsi="Times New Roman" w:cs="Times New Roman"/>
          <w:sz w:val="24"/>
          <w:szCs w:val="24"/>
        </w:rPr>
        <w:t>n one case</w:t>
      </w:r>
      <w:r w:rsidR="00EB3E5F">
        <w:rPr>
          <w:rFonts w:ascii="Times New Roman" w:hAnsi="Times New Roman" w:cs="Times New Roman"/>
          <w:sz w:val="24"/>
          <w:szCs w:val="24"/>
        </w:rPr>
        <w:t xml:space="preserve"> it was accepted</w:t>
      </w:r>
      <w:r w:rsidR="006C5031" w:rsidRPr="00250A2E">
        <w:rPr>
          <w:rFonts w:ascii="Times New Roman" w:hAnsi="Times New Roman" w:cs="Times New Roman"/>
          <w:sz w:val="24"/>
          <w:szCs w:val="24"/>
        </w:rPr>
        <w:t xml:space="preserve"> that </w:t>
      </w:r>
      <w:r w:rsidR="00EB3E5F">
        <w:rPr>
          <w:rFonts w:ascii="Times New Roman" w:hAnsi="Times New Roman" w:cs="Times New Roman"/>
          <w:sz w:val="24"/>
          <w:szCs w:val="24"/>
        </w:rPr>
        <w:t xml:space="preserve">the student had a </w:t>
      </w:r>
      <w:r w:rsidR="006C5031" w:rsidRPr="00250A2E">
        <w:rPr>
          <w:rFonts w:ascii="Times New Roman" w:hAnsi="Times New Roman" w:cs="Times New Roman"/>
          <w:sz w:val="24"/>
          <w:szCs w:val="24"/>
        </w:rPr>
        <w:t>potential</w:t>
      </w:r>
      <w:r w:rsidR="00EB3E5F">
        <w:rPr>
          <w:rFonts w:ascii="Times New Roman" w:hAnsi="Times New Roman" w:cs="Times New Roman"/>
          <w:sz w:val="24"/>
          <w:szCs w:val="24"/>
        </w:rPr>
        <w:t xml:space="preserve"> claim in negligence but the plaintiff failed to return</w:t>
      </w:r>
      <w:r w:rsidR="006C5031" w:rsidRPr="00250A2E">
        <w:rPr>
          <w:rFonts w:ascii="Times New Roman" w:hAnsi="Times New Roman" w:cs="Times New Roman"/>
          <w:sz w:val="24"/>
          <w:szCs w:val="24"/>
        </w:rPr>
        <w:t xml:space="preserve"> to </w:t>
      </w:r>
      <w:r w:rsidR="00EB3E5F">
        <w:rPr>
          <w:rFonts w:ascii="Times New Roman" w:hAnsi="Times New Roman" w:cs="Times New Roman"/>
          <w:sz w:val="24"/>
          <w:szCs w:val="24"/>
        </w:rPr>
        <w:t xml:space="preserve">pursue this argument </w:t>
      </w:r>
      <w:r w:rsidR="006C5031" w:rsidRPr="00250A2E">
        <w:rPr>
          <w:rFonts w:ascii="Times New Roman" w:hAnsi="Times New Roman" w:cs="Times New Roman"/>
          <w:sz w:val="24"/>
          <w:szCs w:val="24"/>
        </w:rPr>
        <w:t>in substance.</w:t>
      </w:r>
      <w:r w:rsidR="00126708">
        <w:rPr>
          <w:rStyle w:val="FootnoteReference"/>
          <w:sz w:val="24"/>
          <w:szCs w:val="24"/>
        </w:rPr>
        <w:footnoteReference w:id="101"/>
      </w:r>
      <w:r w:rsidR="006C5031" w:rsidRPr="00250A2E">
        <w:rPr>
          <w:rFonts w:ascii="Times New Roman" w:hAnsi="Times New Roman" w:cs="Times New Roman"/>
          <w:sz w:val="24"/>
          <w:szCs w:val="24"/>
        </w:rPr>
        <w:t xml:space="preserve">  </w:t>
      </w:r>
      <w:r w:rsidR="009334D5">
        <w:rPr>
          <w:rFonts w:ascii="Times New Roman" w:hAnsi="Times New Roman" w:cs="Times New Roman"/>
          <w:sz w:val="24"/>
          <w:szCs w:val="24"/>
        </w:rPr>
        <w:t>As noted above, students have thus far encountered hurdles in using consumer protection provisions</w:t>
      </w:r>
      <w:r w:rsidR="00432C13">
        <w:rPr>
          <w:rFonts w:ascii="Times New Roman" w:hAnsi="Times New Roman" w:cs="Times New Roman"/>
          <w:sz w:val="24"/>
          <w:szCs w:val="24"/>
        </w:rPr>
        <w:t>, but this may be about to change</w:t>
      </w:r>
      <w:r w:rsidR="009334D5">
        <w:rPr>
          <w:rFonts w:ascii="Times New Roman" w:hAnsi="Times New Roman" w:cs="Times New Roman"/>
          <w:sz w:val="24"/>
          <w:szCs w:val="24"/>
        </w:rPr>
        <w:t xml:space="preserve">.  </w:t>
      </w:r>
    </w:p>
    <w:p w:rsidR="004B778F" w:rsidRDefault="006C5031" w:rsidP="0022498E">
      <w:pPr>
        <w:spacing w:line="360" w:lineRule="auto"/>
        <w:rPr>
          <w:rFonts w:ascii="Times New Roman" w:hAnsi="Times New Roman" w:cs="Times New Roman"/>
          <w:sz w:val="24"/>
          <w:szCs w:val="24"/>
        </w:rPr>
      </w:pPr>
      <w:r w:rsidRPr="00250A2E">
        <w:rPr>
          <w:rFonts w:ascii="Times New Roman" w:hAnsi="Times New Roman" w:cs="Times New Roman"/>
          <w:sz w:val="24"/>
          <w:szCs w:val="24"/>
        </w:rPr>
        <w:t>Far and away the most common action taken against Australian universities is in the area of discrimination.  In most cases the alle</w:t>
      </w:r>
      <w:r w:rsidR="00250A2E" w:rsidRPr="00250A2E">
        <w:rPr>
          <w:rFonts w:ascii="Times New Roman" w:hAnsi="Times New Roman" w:cs="Times New Roman"/>
          <w:sz w:val="24"/>
          <w:szCs w:val="24"/>
        </w:rPr>
        <w:t>gations are thinly veiled attempts to persuade a court or tribunal to revisit a decision of academic judgement in respect of the students</w:t>
      </w:r>
      <w:r w:rsidR="00126708">
        <w:rPr>
          <w:rFonts w:ascii="Times New Roman" w:hAnsi="Times New Roman" w:cs="Times New Roman"/>
          <w:sz w:val="24"/>
          <w:szCs w:val="24"/>
        </w:rPr>
        <w:t>.</w:t>
      </w:r>
      <w:r w:rsidR="00250A2E" w:rsidRPr="00250A2E">
        <w:rPr>
          <w:rFonts w:ascii="Times New Roman" w:hAnsi="Times New Roman" w:cs="Times New Roman"/>
          <w:sz w:val="24"/>
          <w:szCs w:val="24"/>
        </w:rPr>
        <w:t xml:space="preserve"> The students</w:t>
      </w:r>
      <w:r w:rsidR="00126708">
        <w:rPr>
          <w:rFonts w:ascii="Times New Roman" w:hAnsi="Times New Roman" w:cs="Times New Roman"/>
          <w:sz w:val="24"/>
          <w:szCs w:val="24"/>
        </w:rPr>
        <w:t>’</w:t>
      </w:r>
      <w:r w:rsidR="00250A2E" w:rsidRPr="00250A2E">
        <w:rPr>
          <w:rFonts w:ascii="Times New Roman" w:hAnsi="Times New Roman" w:cs="Times New Roman"/>
          <w:sz w:val="24"/>
          <w:szCs w:val="24"/>
        </w:rPr>
        <w:t xml:space="preserve"> allegations of discrimination may be either racial, gender based, or on the grounds of the student’s disability.  The allegations may be made as a breach of the (CTH) </w:t>
      </w:r>
      <w:r w:rsidR="00250A2E" w:rsidRPr="00432C13">
        <w:rPr>
          <w:rFonts w:ascii="Times New Roman" w:hAnsi="Times New Roman" w:cs="Times New Roman"/>
          <w:i/>
          <w:sz w:val="24"/>
          <w:szCs w:val="24"/>
        </w:rPr>
        <w:t>Disability Standards for Education 2003</w:t>
      </w:r>
      <w:r w:rsidR="00250A2E" w:rsidRPr="00250A2E">
        <w:rPr>
          <w:rFonts w:ascii="Times New Roman" w:hAnsi="Times New Roman" w:cs="Times New Roman"/>
          <w:sz w:val="24"/>
          <w:szCs w:val="24"/>
        </w:rPr>
        <w:t xml:space="preserve">, under the (CTH) </w:t>
      </w:r>
      <w:r w:rsidR="00250A2E" w:rsidRPr="00250A2E">
        <w:rPr>
          <w:rFonts w:ascii="Times New Roman" w:hAnsi="Times New Roman" w:cs="Times New Roman"/>
          <w:i/>
          <w:sz w:val="24"/>
          <w:szCs w:val="24"/>
        </w:rPr>
        <w:t xml:space="preserve">Disability Discrimination Act 1993 </w:t>
      </w:r>
      <w:r w:rsidR="00432C13">
        <w:rPr>
          <w:rFonts w:ascii="Times New Roman" w:hAnsi="Times New Roman" w:cs="Times New Roman"/>
          <w:sz w:val="24"/>
          <w:szCs w:val="24"/>
        </w:rPr>
        <w:t>or</w:t>
      </w:r>
      <w:r w:rsidR="00250A2E" w:rsidRPr="00250A2E">
        <w:rPr>
          <w:rFonts w:ascii="Times New Roman" w:hAnsi="Times New Roman" w:cs="Times New Roman"/>
          <w:sz w:val="24"/>
          <w:szCs w:val="24"/>
        </w:rPr>
        <w:t xml:space="preserve"> the equivalent state </w:t>
      </w:r>
      <w:r w:rsidR="00126708">
        <w:rPr>
          <w:rFonts w:ascii="Times New Roman" w:hAnsi="Times New Roman" w:cs="Times New Roman"/>
          <w:sz w:val="24"/>
          <w:szCs w:val="24"/>
        </w:rPr>
        <w:t xml:space="preserve">legislative </w:t>
      </w:r>
      <w:r w:rsidR="00250A2E" w:rsidRPr="00250A2E">
        <w:rPr>
          <w:rFonts w:ascii="Times New Roman" w:hAnsi="Times New Roman" w:cs="Times New Roman"/>
          <w:sz w:val="24"/>
          <w:szCs w:val="24"/>
        </w:rPr>
        <w:t xml:space="preserve">provision in a state tribunal or court. </w:t>
      </w:r>
      <w:r w:rsidR="00250A2E" w:rsidRPr="00250A2E">
        <w:rPr>
          <w:rFonts w:ascii="Times New Roman" w:hAnsi="Times New Roman" w:cs="Times New Roman"/>
          <w:i/>
          <w:sz w:val="24"/>
          <w:szCs w:val="24"/>
        </w:rPr>
        <w:t xml:space="preserve"> </w:t>
      </w:r>
      <w:r w:rsidR="00126708">
        <w:rPr>
          <w:rFonts w:ascii="Times New Roman" w:hAnsi="Times New Roman" w:cs="Times New Roman"/>
          <w:sz w:val="24"/>
          <w:szCs w:val="24"/>
        </w:rPr>
        <w:t>The</w:t>
      </w:r>
      <w:r w:rsidR="00250A2E" w:rsidRPr="00250A2E">
        <w:rPr>
          <w:rFonts w:ascii="Times New Roman" w:hAnsi="Times New Roman" w:cs="Times New Roman"/>
          <w:sz w:val="24"/>
          <w:szCs w:val="24"/>
        </w:rPr>
        <w:t xml:space="preserve"> statutes provide that it is unlawful direct or indirect discrimination where the complainant (the aggrieved person) was treated differently on the basis of their physical characteristic.</w:t>
      </w:r>
      <w:r w:rsidR="00250A2E" w:rsidRPr="00250A2E">
        <w:rPr>
          <w:rStyle w:val="FootnoteReference"/>
          <w:sz w:val="24"/>
          <w:szCs w:val="24"/>
        </w:rPr>
        <w:footnoteReference w:id="102"/>
      </w:r>
      <w:r w:rsidR="00250A2E" w:rsidRPr="00250A2E">
        <w:rPr>
          <w:rFonts w:ascii="Times New Roman" w:hAnsi="Times New Roman" w:cs="Times New Roman"/>
          <w:sz w:val="24"/>
          <w:szCs w:val="24"/>
        </w:rPr>
        <w:t xml:space="preserve">  Most frequently in these cases, the courts or tribunals, while showing considerable sympathy for the student where the treatment has clearly been unfair, will be unmoved to find that discrimination has been proven in terms of the statutes.</w:t>
      </w:r>
      <w:r w:rsidR="009334D5">
        <w:rPr>
          <w:rStyle w:val="FootnoteReference"/>
          <w:sz w:val="24"/>
          <w:szCs w:val="24"/>
        </w:rPr>
        <w:footnoteReference w:id="103"/>
      </w:r>
      <w:r w:rsidR="00250A2E" w:rsidRPr="00250A2E">
        <w:rPr>
          <w:rFonts w:ascii="Times New Roman" w:hAnsi="Times New Roman" w:cs="Times New Roman"/>
          <w:sz w:val="24"/>
          <w:szCs w:val="24"/>
        </w:rPr>
        <w:t xml:space="preserve">  The situation is si</w:t>
      </w:r>
      <w:r w:rsidR="004B778F">
        <w:rPr>
          <w:rFonts w:ascii="Times New Roman" w:hAnsi="Times New Roman" w:cs="Times New Roman"/>
          <w:sz w:val="24"/>
          <w:szCs w:val="24"/>
        </w:rPr>
        <w:t>milar with almost all actions and t</w:t>
      </w:r>
      <w:r w:rsidRPr="00250A2E">
        <w:rPr>
          <w:rFonts w:ascii="Times New Roman" w:hAnsi="Times New Roman" w:cs="Times New Roman"/>
          <w:sz w:val="24"/>
          <w:szCs w:val="24"/>
        </w:rPr>
        <w:t>he case law in this area documents</w:t>
      </w:r>
      <w:r w:rsidR="00250A2E">
        <w:rPr>
          <w:rFonts w:ascii="Times New Roman" w:hAnsi="Times New Roman" w:cs="Times New Roman"/>
          <w:sz w:val="24"/>
          <w:szCs w:val="24"/>
        </w:rPr>
        <w:t xml:space="preserve"> </w:t>
      </w:r>
      <w:r w:rsidRPr="00250A2E">
        <w:rPr>
          <w:rFonts w:ascii="Times New Roman" w:hAnsi="Times New Roman" w:cs="Times New Roman"/>
          <w:sz w:val="24"/>
          <w:szCs w:val="24"/>
        </w:rPr>
        <w:t xml:space="preserve">a series of failed proceedings for </w:t>
      </w:r>
      <w:r w:rsidR="004B778F">
        <w:rPr>
          <w:rFonts w:ascii="Times New Roman" w:hAnsi="Times New Roman" w:cs="Times New Roman"/>
          <w:sz w:val="24"/>
          <w:szCs w:val="24"/>
        </w:rPr>
        <w:t>students</w:t>
      </w:r>
      <w:r w:rsidRPr="00250A2E">
        <w:rPr>
          <w:rFonts w:ascii="Times New Roman" w:hAnsi="Times New Roman" w:cs="Times New Roman"/>
          <w:sz w:val="24"/>
          <w:szCs w:val="24"/>
        </w:rPr>
        <w:t>.</w:t>
      </w:r>
      <w:r w:rsidR="00126708">
        <w:rPr>
          <w:rFonts w:ascii="Times New Roman" w:hAnsi="Times New Roman" w:cs="Times New Roman"/>
          <w:sz w:val="24"/>
          <w:szCs w:val="24"/>
        </w:rPr>
        <w:t xml:space="preserve"> </w:t>
      </w:r>
      <w:r w:rsidRPr="00250A2E">
        <w:rPr>
          <w:rFonts w:ascii="Times New Roman" w:hAnsi="Times New Roman" w:cs="Times New Roman"/>
          <w:sz w:val="24"/>
          <w:szCs w:val="24"/>
        </w:rPr>
        <w:t>The almost</w:t>
      </w:r>
      <w:r w:rsidR="00F919D3">
        <w:rPr>
          <w:rFonts w:ascii="Times New Roman" w:hAnsi="Times New Roman" w:cs="Times New Roman"/>
          <w:sz w:val="24"/>
          <w:szCs w:val="24"/>
        </w:rPr>
        <w:t xml:space="preserve"> </w:t>
      </w:r>
      <w:r w:rsidRPr="00250A2E">
        <w:rPr>
          <w:rFonts w:ascii="Times New Roman" w:hAnsi="Times New Roman" w:cs="Times New Roman"/>
          <w:sz w:val="24"/>
          <w:szCs w:val="24"/>
        </w:rPr>
        <w:t xml:space="preserve">universal lack of success is either on technical grounds or on the facts. </w:t>
      </w:r>
    </w:p>
    <w:p w:rsidR="006C5031" w:rsidRPr="00F919D3" w:rsidRDefault="004B778F" w:rsidP="0022498E">
      <w:pPr>
        <w:spacing w:line="360" w:lineRule="auto"/>
        <w:rPr>
          <w:rFonts w:ascii="Times New Roman" w:hAnsi="Times New Roman" w:cs="Times New Roman"/>
          <w:sz w:val="24"/>
          <w:szCs w:val="24"/>
        </w:rPr>
      </w:pPr>
      <w:r>
        <w:rPr>
          <w:rFonts w:ascii="Times New Roman" w:hAnsi="Times New Roman" w:cs="Times New Roman"/>
          <w:sz w:val="24"/>
          <w:szCs w:val="24"/>
        </w:rPr>
        <w:t>While i</w:t>
      </w:r>
      <w:r w:rsidR="006C5031" w:rsidRPr="00250A2E">
        <w:rPr>
          <w:rFonts w:ascii="Times New Roman" w:hAnsi="Times New Roman" w:cs="Times New Roman"/>
          <w:sz w:val="24"/>
          <w:szCs w:val="24"/>
        </w:rPr>
        <w:t>t is clear</w:t>
      </w:r>
      <w:r w:rsidR="00F919D3">
        <w:rPr>
          <w:rFonts w:ascii="Times New Roman" w:hAnsi="Times New Roman" w:cs="Times New Roman"/>
          <w:sz w:val="24"/>
          <w:szCs w:val="24"/>
        </w:rPr>
        <w:t xml:space="preserve"> </w:t>
      </w:r>
      <w:r w:rsidR="006C5031" w:rsidRPr="00250A2E">
        <w:rPr>
          <w:rFonts w:ascii="Times New Roman" w:hAnsi="Times New Roman" w:cs="Times New Roman"/>
          <w:sz w:val="24"/>
          <w:szCs w:val="24"/>
        </w:rPr>
        <w:t>that litigatio</w:t>
      </w:r>
      <w:r>
        <w:rPr>
          <w:rFonts w:ascii="Times New Roman" w:hAnsi="Times New Roman" w:cs="Times New Roman"/>
          <w:sz w:val="24"/>
          <w:szCs w:val="24"/>
        </w:rPr>
        <w:t>n is not working for students, n</w:t>
      </w:r>
      <w:r w:rsidR="006C5031" w:rsidRPr="00250A2E">
        <w:rPr>
          <w:rFonts w:ascii="Times New Roman" w:hAnsi="Times New Roman" w:cs="Times New Roman"/>
          <w:sz w:val="24"/>
          <w:szCs w:val="24"/>
        </w:rPr>
        <w:t>either can it be working for universities</w:t>
      </w:r>
      <w:r w:rsidR="00F919D3">
        <w:rPr>
          <w:rFonts w:ascii="Times New Roman" w:hAnsi="Times New Roman" w:cs="Times New Roman"/>
          <w:sz w:val="24"/>
          <w:szCs w:val="24"/>
        </w:rPr>
        <w:t xml:space="preserve"> </w:t>
      </w:r>
      <w:r w:rsidR="006C5031" w:rsidRPr="00250A2E">
        <w:rPr>
          <w:rFonts w:ascii="Times New Roman" w:hAnsi="Times New Roman" w:cs="Times New Roman"/>
          <w:sz w:val="24"/>
          <w:szCs w:val="24"/>
        </w:rPr>
        <w:t>in terms of time, money and energy expended on fighting such claims in the</w:t>
      </w:r>
      <w:r w:rsidR="00F919D3">
        <w:rPr>
          <w:rFonts w:ascii="Times New Roman" w:hAnsi="Times New Roman" w:cs="Times New Roman"/>
          <w:sz w:val="24"/>
          <w:szCs w:val="24"/>
        </w:rPr>
        <w:t xml:space="preserve"> courts.</w:t>
      </w:r>
    </w:p>
    <w:p w:rsidR="00EF1491" w:rsidRDefault="00EF1491" w:rsidP="002E281B">
      <w:pPr>
        <w:spacing w:line="360" w:lineRule="auto"/>
        <w:rPr>
          <w:rFonts w:ascii="Times New Roman" w:hAnsi="Times New Roman" w:cs="Times New Roman"/>
          <w:sz w:val="24"/>
          <w:szCs w:val="24"/>
        </w:rPr>
      </w:pPr>
      <w:r w:rsidRPr="00B6620A">
        <w:rPr>
          <w:rFonts w:ascii="Times New Roman" w:hAnsi="Times New Roman" w:cs="Times New Roman"/>
          <w:sz w:val="24"/>
          <w:szCs w:val="24"/>
        </w:rPr>
        <w:t>Many Australian universities now have a Student Ombudsperson</w:t>
      </w:r>
      <w:r w:rsidR="007945BD">
        <w:rPr>
          <w:rFonts w:ascii="Times New Roman" w:hAnsi="Times New Roman" w:cs="Times New Roman"/>
          <w:sz w:val="24"/>
          <w:szCs w:val="24"/>
        </w:rPr>
        <w:t xml:space="preserve">, </w:t>
      </w:r>
      <w:r w:rsidRPr="00B6620A">
        <w:rPr>
          <w:rFonts w:ascii="Times New Roman" w:hAnsi="Times New Roman" w:cs="Times New Roman"/>
          <w:sz w:val="24"/>
          <w:szCs w:val="24"/>
        </w:rPr>
        <w:t xml:space="preserve">for example, </w:t>
      </w:r>
      <w:r w:rsidR="004B778F">
        <w:rPr>
          <w:rFonts w:ascii="Times New Roman" w:hAnsi="Times New Roman" w:cs="Times New Roman"/>
          <w:sz w:val="24"/>
          <w:szCs w:val="24"/>
        </w:rPr>
        <w:t xml:space="preserve">the </w:t>
      </w:r>
      <w:r w:rsidRPr="00B6620A">
        <w:rPr>
          <w:rFonts w:ascii="Times New Roman" w:hAnsi="Times New Roman" w:cs="Times New Roman"/>
          <w:sz w:val="24"/>
          <w:szCs w:val="24"/>
        </w:rPr>
        <w:t>U</w:t>
      </w:r>
      <w:r w:rsidR="007945BD">
        <w:rPr>
          <w:rFonts w:ascii="Times New Roman" w:hAnsi="Times New Roman" w:cs="Times New Roman"/>
          <w:sz w:val="24"/>
          <w:szCs w:val="24"/>
        </w:rPr>
        <w:t xml:space="preserve">niversity of Technology, Sydney has the office of the Student </w:t>
      </w:r>
      <w:proofErr w:type="spellStart"/>
      <w:r w:rsidR="007945BD">
        <w:rPr>
          <w:rFonts w:ascii="Times New Roman" w:hAnsi="Times New Roman" w:cs="Times New Roman"/>
          <w:sz w:val="24"/>
          <w:szCs w:val="24"/>
        </w:rPr>
        <w:t>Ombud</w:t>
      </w:r>
      <w:proofErr w:type="spellEnd"/>
      <w:r w:rsidR="007945BD">
        <w:rPr>
          <w:rFonts w:ascii="Times New Roman" w:hAnsi="Times New Roman" w:cs="Times New Roman"/>
          <w:sz w:val="24"/>
          <w:szCs w:val="24"/>
        </w:rPr>
        <w:t>,</w:t>
      </w:r>
      <w:r w:rsidRPr="00B6620A">
        <w:rPr>
          <w:rFonts w:ascii="Times New Roman" w:hAnsi="Times New Roman" w:cs="Times New Roman"/>
          <w:sz w:val="24"/>
          <w:szCs w:val="24"/>
        </w:rPr>
        <w:t xml:space="preserve"> whose terms of reference are modelled on the public service ombudsman and the powers are of investigation and recommendation.  Other universi</w:t>
      </w:r>
      <w:r w:rsidR="007945BD">
        <w:rPr>
          <w:rFonts w:ascii="Times New Roman" w:hAnsi="Times New Roman" w:cs="Times New Roman"/>
          <w:sz w:val="24"/>
          <w:szCs w:val="24"/>
        </w:rPr>
        <w:t xml:space="preserve">ties have a Dean of Students, </w:t>
      </w:r>
      <w:r w:rsidRPr="00B6620A">
        <w:rPr>
          <w:rFonts w:ascii="Times New Roman" w:hAnsi="Times New Roman" w:cs="Times New Roman"/>
          <w:sz w:val="24"/>
          <w:szCs w:val="24"/>
        </w:rPr>
        <w:t xml:space="preserve">for example, the </w:t>
      </w:r>
      <w:r w:rsidR="007945BD">
        <w:rPr>
          <w:rFonts w:ascii="Times New Roman" w:hAnsi="Times New Roman" w:cs="Times New Roman"/>
          <w:sz w:val="24"/>
          <w:szCs w:val="24"/>
        </w:rPr>
        <w:t xml:space="preserve">Australian National University, </w:t>
      </w:r>
      <w:r w:rsidRPr="00B6620A">
        <w:rPr>
          <w:rFonts w:ascii="Times New Roman" w:hAnsi="Times New Roman" w:cs="Times New Roman"/>
          <w:sz w:val="24"/>
          <w:szCs w:val="24"/>
        </w:rPr>
        <w:t>whose role may range from acting in an advisory capacity to investigation and mediation.</w:t>
      </w:r>
      <w:r w:rsidR="007945BD">
        <w:rPr>
          <w:rStyle w:val="FootnoteReference"/>
          <w:sz w:val="24"/>
          <w:szCs w:val="24"/>
        </w:rPr>
        <w:footnoteReference w:id="104"/>
      </w:r>
    </w:p>
    <w:p w:rsidR="00076F92" w:rsidRPr="00076F92" w:rsidRDefault="00076F92" w:rsidP="00076F92">
      <w:pPr>
        <w:shd w:val="clear" w:color="auto" w:fill="FFFFFF"/>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b/>
          <w:sz w:val="24"/>
          <w:szCs w:val="24"/>
        </w:rPr>
        <w:t>Conclusion</w:t>
      </w:r>
    </w:p>
    <w:p w:rsidR="00EE7839" w:rsidRDefault="00EE7839" w:rsidP="00076F92">
      <w:pPr>
        <w:spacing w:line="360" w:lineRule="auto"/>
        <w:rPr>
          <w:rFonts w:ascii="Times New Roman" w:hAnsi="Times New Roman" w:cs="Times New Roman"/>
          <w:sz w:val="24"/>
          <w:szCs w:val="24"/>
        </w:rPr>
      </w:pPr>
      <w:r>
        <w:rPr>
          <w:rFonts w:ascii="Times New Roman" w:hAnsi="Times New Roman" w:cs="Times New Roman"/>
          <w:sz w:val="24"/>
          <w:szCs w:val="24"/>
        </w:rPr>
        <w:t xml:space="preserve">It has been the aim of this paper to outline the major changes and innovations in tertiary education in Australia over the past few years.  </w:t>
      </w:r>
      <w:r w:rsidR="00501866">
        <w:rPr>
          <w:rFonts w:ascii="Times New Roman" w:hAnsi="Times New Roman" w:cs="Times New Roman"/>
          <w:sz w:val="24"/>
          <w:szCs w:val="24"/>
        </w:rPr>
        <w:t>To say that t</w:t>
      </w:r>
      <w:r w:rsidR="00076F92">
        <w:rPr>
          <w:rFonts w:ascii="Times New Roman" w:hAnsi="Times New Roman" w:cs="Times New Roman"/>
          <w:sz w:val="24"/>
          <w:szCs w:val="24"/>
        </w:rPr>
        <w:t xml:space="preserve">he </w:t>
      </w:r>
      <w:r>
        <w:rPr>
          <w:rFonts w:ascii="Times New Roman" w:hAnsi="Times New Roman" w:cs="Times New Roman"/>
          <w:sz w:val="24"/>
          <w:szCs w:val="24"/>
        </w:rPr>
        <w:t xml:space="preserve">sector </w:t>
      </w:r>
      <w:r w:rsidR="00076F92">
        <w:rPr>
          <w:rFonts w:ascii="Times New Roman" w:hAnsi="Times New Roman" w:cs="Times New Roman"/>
          <w:sz w:val="24"/>
          <w:szCs w:val="24"/>
        </w:rPr>
        <w:t>in Australia has</w:t>
      </w:r>
      <w:r w:rsidR="00501866">
        <w:rPr>
          <w:rFonts w:ascii="Times New Roman" w:hAnsi="Times New Roman" w:cs="Times New Roman"/>
          <w:sz w:val="24"/>
          <w:szCs w:val="24"/>
        </w:rPr>
        <w:t xml:space="preserve"> </w:t>
      </w:r>
      <w:r w:rsidR="00076F92">
        <w:rPr>
          <w:rFonts w:ascii="Times New Roman" w:hAnsi="Times New Roman" w:cs="Times New Roman"/>
          <w:sz w:val="24"/>
          <w:szCs w:val="24"/>
        </w:rPr>
        <w:t xml:space="preserve">undergone significant upheaval </w:t>
      </w:r>
      <w:r w:rsidR="00126708">
        <w:rPr>
          <w:rFonts w:ascii="Times New Roman" w:hAnsi="Times New Roman" w:cs="Times New Roman"/>
          <w:sz w:val="24"/>
          <w:szCs w:val="24"/>
        </w:rPr>
        <w:t xml:space="preserve">is </w:t>
      </w:r>
      <w:r w:rsidR="00501866">
        <w:rPr>
          <w:rFonts w:ascii="Times New Roman" w:hAnsi="Times New Roman" w:cs="Times New Roman"/>
          <w:sz w:val="24"/>
          <w:szCs w:val="24"/>
        </w:rPr>
        <w:t>an understatement</w:t>
      </w:r>
      <w:r>
        <w:rPr>
          <w:rFonts w:ascii="Times New Roman" w:hAnsi="Times New Roman" w:cs="Times New Roman"/>
          <w:sz w:val="24"/>
          <w:szCs w:val="24"/>
        </w:rPr>
        <w:t>,</w:t>
      </w:r>
      <w:r w:rsidR="004B778F">
        <w:rPr>
          <w:rFonts w:ascii="Times New Roman" w:hAnsi="Times New Roman" w:cs="Times New Roman"/>
          <w:sz w:val="24"/>
          <w:szCs w:val="24"/>
        </w:rPr>
        <w:t xml:space="preserve"> and t</w:t>
      </w:r>
      <w:r w:rsidR="002B631C">
        <w:rPr>
          <w:rFonts w:ascii="Times New Roman" w:hAnsi="Times New Roman" w:cs="Times New Roman"/>
          <w:sz w:val="24"/>
          <w:szCs w:val="24"/>
        </w:rPr>
        <w:t xml:space="preserve">he </w:t>
      </w:r>
      <w:r>
        <w:rPr>
          <w:rFonts w:ascii="Times New Roman" w:hAnsi="Times New Roman" w:cs="Times New Roman"/>
          <w:sz w:val="24"/>
          <w:szCs w:val="24"/>
        </w:rPr>
        <w:t>sands</w:t>
      </w:r>
      <w:r w:rsidR="00126708">
        <w:rPr>
          <w:rFonts w:ascii="Times New Roman" w:hAnsi="Times New Roman" w:cs="Times New Roman"/>
          <w:sz w:val="24"/>
          <w:szCs w:val="24"/>
        </w:rPr>
        <w:t xml:space="preserve"> </w:t>
      </w:r>
      <w:r w:rsidR="004B778F">
        <w:rPr>
          <w:rFonts w:ascii="Times New Roman" w:hAnsi="Times New Roman" w:cs="Times New Roman"/>
          <w:sz w:val="24"/>
          <w:szCs w:val="24"/>
        </w:rPr>
        <w:t>continue</w:t>
      </w:r>
      <w:r>
        <w:rPr>
          <w:rFonts w:ascii="Times New Roman" w:hAnsi="Times New Roman" w:cs="Times New Roman"/>
          <w:sz w:val="24"/>
          <w:szCs w:val="24"/>
        </w:rPr>
        <w:t xml:space="preserve"> to shift</w:t>
      </w:r>
      <w:r w:rsidR="004B778F">
        <w:rPr>
          <w:rFonts w:ascii="Times New Roman" w:hAnsi="Times New Roman" w:cs="Times New Roman"/>
          <w:sz w:val="24"/>
          <w:szCs w:val="24"/>
        </w:rPr>
        <w:t xml:space="preserve">.  </w:t>
      </w:r>
      <w:r w:rsidR="006F7D49">
        <w:rPr>
          <w:rFonts w:ascii="Times New Roman" w:hAnsi="Times New Roman" w:cs="Times New Roman"/>
          <w:sz w:val="24"/>
          <w:szCs w:val="24"/>
        </w:rPr>
        <w:t xml:space="preserve">The sector </w:t>
      </w:r>
      <w:r w:rsidR="00337042">
        <w:rPr>
          <w:rFonts w:ascii="Times New Roman" w:hAnsi="Times New Roman" w:cs="Times New Roman"/>
          <w:sz w:val="24"/>
          <w:szCs w:val="24"/>
        </w:rPr>
        <w:t xml:space="preserve">has </w:t>
      </w:r>
      <w:r w:rsidR="00126708">
        <w:rPr>
          <w:rFonts w:ascii="Times New Roman" w:hAnsi="Times New Roman" w:cs="Times New Roman"/>
          <w:sz w:val="24"/>
          <w:szCs w:val="24"/>
        </w:rPr>
        <w:t xml:space="preserve">mostly </w:t>
      </w:r>
      <w:r w:rsidR="00337042">
        <w:rPr>
          <w:rFonts w:ascii="Times New Roman" w:hAnsi="Times New Roman" w:cs="Times New Roman"/>
          <w:sz w:val="24"/>
          <w:szCs w:val="24"/>
        </w:rPr>
        <w:t xml:space="preserve">embraced </w:t>
      </w:r>
      <w:r w:rsidR="00076F92">
        <w:rPr>
          <w:rFonts w:ascii="Times New Roman" w:hAnsi="Times New Roman" w:cs="Times New Roman"/>
          <w:sz w:val="24"/>
          <w:szCs w:val="24"/>
        </w:rPr>
        <w:t xml:space="preserve">TEQSA and </w:t>
      </w:r>
      <w:r w:rsidR="00F820EE">
        <w:rPr>
          <w:rFonts w:ascii="Times New Roman" w:hAnsi="Times New Roman" w:cs="Times New Roman"/>
          <w:sz w:val="24"/>
          <w:szCs w:val="24"/>
        </w:rPr>
        <w:t>adapted</w:t>
      </w:r>
      <w:r w:rsidR="00337042">
        <w:rPr>
          <w:rFonts w:ascii="Times New Roman" w:hAnsi="Times New Roman" w:cs="Times New Roman"/>
          <w:sz w:val="24"/>
          <w:szCs w:val="24"/>
        </w:rPr>
        <w:t xml:space="preserve"> to the idea of </w:t>
      </w:r>
      <w:r>
        <w:rPr>
          <w:rFonts w:ascii="Times New Roman" w:hAnsi="Times New Roman" w:cs="Times New Roman"/>
          <w:sz w:val="24"/>
          <w:szCs w:val="24"/>
        </w:rPr>
        <w:t xml:space="preserve">a national regulator and </w:t>
      </w:r>
      <w:r w:rsidR="00337042">
        <w:rPr>
          <w:rFonts w:ascii="Times New Roman" w:hAnsi="Times New Roman" w:cs="Times New Roman"/>
          <w:sz w:val="24"/>
          <w:szCs w:val="24"/>
        </w:rPr>
        <w:t xml:space="preserve">registration, </w:t>
      </w:r>
      <w:r w:rsidR="00F820EE">
        <w:rPr>
          <w:rFonts w:ascii="Times New Roman" w:hAnsi="Times New Roman" w:cs="Times New Roman"/>
          <w:sz w:val="24"/>
          <w:szCs w:val="24"/>
        </w:rPr>
        <w:t xml:space="preserve">the </w:t>
      </w:r>
      <w:r w:rsidR="00076F92">
        <w:rPr>
          <w:rFonts w:ascii="Times New Roman" w:hAnsi="Times New Roman" w:cs="Times New Roman"/>
          <w:sz w:val="24"/>
          <w:szCs w:val="24"/>
        </w:rPr>
        <w:t xml:space="preserve">Higher Education Standards and the Regulatory Risk Framework.  </w:t>
      </w:r>
      <w:r>
        <w:rPr>
          <w:rFonts w:ascii="Times New Roman" w:hAnsi="Times New Roman" w:cs="Times New Roman"/>
          <w:sz w:val="24"/>
          <w:szCs w:val="24"/>
        </w:rPr>
        <w:t xml:space="preserve">The objections of many universities that they are ‘caught in the web’ designed for the oversight of private providers has largely abated.  </w:t>
      </w:r>
    </w:p>
    <w:p w:rsidR="006F7D49" w:rsidRDefault="00EE7839" w:rsidP="00076F92">
      <w:pPr>
        <w:spacing w:line="360" w:lineRule="auto"/>
        <w:rPr>
          <w:rFonts w:ascii="Times New Roman" w:hAnsi="Times New Roman" w:cs="Times New Roman"/>
          <w:sz w:val="24"/>
          <w:szCs w:val="24"/>
        </w:rPr>
      </w:pPr>
      <w:r>
        <w:rPr>
          <w:rFonts w:ascii="Times New Roman" w:hAnsi="Times New Roman" w:cs="Times New Roman"/>
          <w:sz w:val="24"/>
          <w:szCs w:val="24"/>
        </w:rPr>
        <w:t>In terms of research, t</w:t>
      </w:r>
      <w:r w:rsidR="00076F92">
        <w:rPr>
          <w:rFonts w:ascii="Times New Roman" w:hAnsi="Times New Roman" w:cs="Times New Roman"/>
          <w:sz w:val="24"/>
          <w:szCs w:val="24"/>
        </w:rPr>
        <w:t>he second round of ERA</w:t>
      </w:r>
      <w:r w:rsidR="006F7D49">
        <w:rPr>
          <w:rFonts w:ascii="Times New Roman" w:hAnsi="Times New Roman" w:cs="Times New Roman"/>
          <w:sz w:val="24"/>
          <w:szCs w:val="24"/>
        </w:rPr>
        <w:t xml:space="preserve"> has taken place and </w:t>
      </w:r>
      <w:r w:rsidR="00337042">
        <w:rPr>
          <w:rFonts w:ascii="Times New Roman" w:hAnsi="Times New Roman" w:cs="Times New Roman"/>
          <w:sz w:val="24"/>
          <w:szCs w:val="24"/>
        </w:rPr>
        <w:t xml:space="preserve">while </w:t>
      </w:r>
      <w:r w:rsidR="006F7D49">
        <w:rPr>
          <w:rFonts w:ascii="Times New Roman" w:hAnsi="Times New Roman" w:cs="Times New Roman"/>
          <w:sz w:val="24"/>
          <w:szCs w:val="24"/>
        </w:rPr>
        <w:t xml:space="preserve">so far, </w:t>
      </w:r>
      <w:r w:rsidR="00076F92">
        <w:rPr>
          <w:rFonts w:ascii="Times New Roman" w:hAnsi="Times New Roman" w:cs="Times New Roman"/>
          <w:sz w:val="24"/>
          <w:szCs w:val="24"/>
        </w:rPr>
        <w:t>the sky hasn’t fallen in</w:t>
      </w:r>
      <w:r w:rsidR="006F7D49">
        <w:rPr>
          <w:rFonts w:ascii="Times New Roman" w:hAnsi="Times New Roman" w:cs="Times New Roman"/>
          <w:sz w:val="24"/>
          <w:szCs w:val="24"/>
        </w:rPr>
        <w:t>,</w:t>
      </w:r>
      <w:r w:rsidR="00337042">
        <w:rPr>
          <w:rFonts w:ascii="Times New Roman" w:hAnsi="Times New Roman" w:cs="Times New Roman"/>
          <w:sz w:val="24"/>
          <w:szCs w:val="24"/>
        </w:rPr>
        <w:t xml:space="preserve"> the feeling is that the real impact is yet to come.</w:t>
      </w:r>
      <w:r w:rsidR="00076F92">
        <w:rPr>
          <w:rFonts w:ascii="Times New Roman" w:hAnsi="Times New Roman" w:cs="Times New Roman"/>
          <w:sz w:val="24"/>
          <w:szCs w:val="24"/>
        </w:rPr>
        <w:t xml:space="preserve">  </w:t>
      </w:r>
      <w:r w:rsidR="006F7D49">
        <w:rPr>
          <w:rFonts w:ascii="Times New Roman" w:hAnsi="Times New Roman" w:cs="Times New Roman"/>
          <w:sz w:val="24"/>
          <w:szCs w:val="24"/>
        </w:rPr>
        <w:t xml:space="preserve">The sector </w:t>
      </w:r>
      <w:r w:rsidR="00076F92">
        <w:rPr>
          <w:rFonts w:ascii="Times New Roman" w:hAnsi="Times New Roman" w:cs="Times New Roman"/>
          <w:sz w:val="24"/>
          <w:szCs w:val="24"/>
        </w:rPr>
        <w:t>await</w:t>
      </w:r>
      <w:r w:rsidR="006F7D49">
        <w:rPr>
          <w:rFonts w:ascii="Times New Roman" w:hAnsi="Times New Roman" w:cs="Times New Roman"/>
          <w:sz w:val="24"/>
          <w:szCs w:val="24"/>
        </w:rPr>
        <w:t>s</w:t>
      </w:r>
      <w:r w:rsidR="00076F92">
        <w:rPr>
          <w:rFonts w:ascii="Times New Roman" w:hAnsi="Times New Roman" w:cs="Times New Roman"/>
          <w:sz w:val="24"/>
          <w:szCs w:val="24"/>
        </w:rPr>
        <w:t xml:space="preserve"> release of the Research Standards </w:t>
      </w:r>
      <w:r>
        <w:rPr>
          <w:rFonts w:ascii="Times New Roman" w:hAnsi="Times New Roman" w:cs="Times New Roman"/>
          <w:sz w:val="24"/>
          <w:szCs w:val="24"/>
        </w:rPr>
        <w:t>and the Teaching and Learning Standards (the non-threshold standards), and</w:t>
      </w:r>
      <w:r w:rsidR="00076F92">
        <w:rPr>
          <w:rFonts w:ascii="Times New Roman" w:hAnsi="Times New Roman" w:cs="Times New Roman"/>
          <w:sz w:val="24"/>
          <w:szCs w:val="24"/>
        </w:rPr>
        <w:t xml:space="preserve"> many </w:t>
      </w:r>
      <w:r w:rsidR="006F7D49">
        <w:rPr>
          <w:rFonts w:ascii="Times New Roman" w:hAnsi="Times New Roman" w:cs="Times New Roman"/>
          <w:sz w:val="24"/>
          <w:szCs w:val="24"/>
        </w:rPr>
        <w:t xml:space="preserve">universities </w:t>
      </w:r>
      <w:r w:rsidR="00076F92">
        <w:rPr>
          <w:rFonts w:ascii="Times New Roman" w:hAnsi="Times New Roman" w:cs="Times New Roman"/>
          <w:sz w:val="24"/>
          <w:szCs w:val="24"/>
        </w:rPr>
        <w:t>have taken the opportunity to hav</w:t>
      </w:r>
      <w:r w:rsidR="006F7D49">
        <w:rPr>
          <w:rFonts w:ascii="Times New Roman" w:hAnsi="Times New Roman" w:cs="Times New Roman"/>
          <w:sz w:val="24"/>
          <w:szCs w:val="24"/>
        </w:rPr>
        <w:t>e input into</w:t>
      </w:r>
      <w:r>
        <w:rPr>
          <w:rFonts w:ascii="Times New Roman" w:hAnsi="Times New Roman" w:cs="Times New Roman"/>
          <w:sz w:val="24"/>
          <w:szCs w:val="24"/>
        </w:rPr>
        <w:t xml:space="preserve"> this discussion</w:t>
      </w:r>
      <w:r w:rsidR="006F7D49">
        <w:rPr>
          <w:rFonts w:ascii="Times New Roman" w:hAnsi="Times New Roman" w:cs="Times New Roman"/>
          <w:sz w:val="24"/>
          <w:szCs w:val="24"/>
        </w:rPr>
        <w:t>.</w:t>
      </w:r>
    </w:p>
    <w:p w:rsidR="006F7D49" w:rsidRDefault="000E4BC2" w:rsidP="00076F92">
      <w:pPr>
        <w:spacing w:line="360" w:lineRule="auto"/>
        <w:rPr>
          <w:rFonts w:ascii="Times New Roman" w:hAnsi="Times New Roman" w:cs="Times New Roman"/>
          <w:sz w:val="24"/>
          <w:szCs w:val="24"/>
        </w:rPr>
      </w:pPr>
      <w:r>
        <w:rPr>
          <w:rFonts w:ascii="Times New Roman" w:hAnsi="Times New Roman" w:cs="Times New Roman"/>
          <w:sz w:val="24"/>
          <w:szCs w:val="24"/>
        </w:rPr>
        <w:t>The effects of demand driven education on the sector will take some time to surface and there are many doomsayers.</w:t>
      </w:r>
      <w:r>
        <w:rPr>
          <w:rStyle w:val="FootnoteReference"/>
          <w:sz w:val="24"/>
          <w:szCs w:val="24"/>
        </w:rPr>
        <w:footnoteReference w:id="105"/>
      </w:r>
      <w:r>
        <w:rPr>
          <w:rFonts w:ascii="Times New Roman" w:hAnsi="Times New Roman" w:cs="Times New Roman"/>
          <w:sz w:val="24"/>
          <w:szCs w:val="24"/>
        </w:rPr>
        <w:t xml:space="preserve">  </w:t>
      </w:r>
      <w:r w:rsidR="00126708">
        <w:rPr>
          <w:rFonts w:ascii="Times New Roman" w:hAnsi="Times New Roman" w:cs="Times New Roman"/>
          <w:sz w:val="24"/>
          <w:szCs w:val="24"/>
        </w:rPr>
        <w:t xml:space="preserve">The </w:t>
      </w:r>
      <w:r>
        <w:rPr>
          <w:rFonts w:ascii="Times New Roman" w:hAnsi="Times New Roman" w:cs="Times New Roman"/>
          <w:sz w:val="24"/>
          <w:szCs w:val="24"/>
        </w:rPr>
        <w:t>challenges</w:t>
      </w:r>
      <w:r w:rsidR="00126708">
        <w:rPr>
          <w:rFonts w:ascii="Times New Roman" w:hAnsi="Times New Roman" w:cs="Times New Roman"/>
          <w:sz w:val="24"/>
          <w:szCs w:val="24"/>
        </w:rPr>
        <w:t xml:space="preserve"> are obvious</w:t>
      </w:r>
      <w:r>
        <w:rPr>
          <w:rFonts w:ascii="Times New Roman" w:hAnsi="Times New Roman" w:cs="Times New Roman"/>
          <w:sz w:val="24"/>
          <w:szCs w:val="24"/>
        </w:rPr>
        <w:t>, not the least being how best to increase participation in higher education w</w:t>
      </w:r>
      <w:r w:rsidR="00EE7839">
        <w:rPr>
          <w:rFonts w:ascii="Times New Roman" w:hAnsi="Times New Roman" w:cs="Times New Roman"/>
          <w:sz w:val="24"/>
          <w:szCs w:val="24"/>
        </w:rPr>
        <w:t>ithout any sacrifice to quality within budgetary constraints.</w:t>
      </w:r>
      <w:r>
        <w:rPr>
          <w:rFonts w:ascii="Times New Roman" w:hAnsi="Times New Roman" w:cs="Times New Roman"/>
          <w:sz w:val="24"/>
          <w:szCs w:val="24"/>
        </w:rPr>
        <w:t xml:space="preserve"> </w:t>
      </w:r>
      <w:r w:rsidR="00337042">
        <w:rPr>
          <w:rFonts w:ascii="Times New Roman" w:hAnsi="Times New Roman" w:cs="Times New Roman"/>
          <w:sz w:val="24"/>
          <w:szCs w:val="24"/>
        </w:rPr>
        <w:t xml:space="preserve">  </w:t>
      </w:r>
      <w:r w:rsidR="00076F92">
        <w:rPr>
          <w:rFonts w:ascii="Times New Roman" w:hAnsi="Times New Roman" w:cs="Times New Roman"/>
          <w:sz w:val="24"/>
          <w:szCs w:val="24"/>
        </w:rPr>
        <w:t>A</w:t>
      </w:r>
      <w:r>
        <w:rPr>
          <w:rFonts w:ascii="Times New Roman" w:hAnsi="Times New Roman" w:cs="Times New Roman"/>
          <w:sz w:val="24"/>
          <w:szCs w:val="24"/>
        </w:rPr>
        <w:t xml:space="preserve">nother </w:t>
      </w:r>
      <w:r w:rsidR="00126708">
        <w:rPr>
          <w:rFonts w:ascii="Times New Roman" w:hAnsi="Times New Roman" w:cs="Times New Roman"/>
          <w:sz w:val="24"/>
          <w:szCs w:val="24"/>
        </w:rPr>
        <w:t xml:space="preserve"> primary question concerns that </w:t>
      </w:r>
      <w:r w:rsidR="00076F92">
        <w:rPr>
          <w:rFonts w:ascii="Times New Roman" w:hAnsi="Times New Roman" w:cs="Times New Roman"/>
          <w:sz w:val="24"/>
          <w:szCs w:val="24"/>
        </w:rPr>
        <w:t>the</w:t>
      </w:r>
      <w:r>
        <w:rPr>
          <w:rFonts w:ascii="Times New Roman" w:hAnsi="Times New Roman" w:cs="Times New Roman"/>
          <w:sz w:val="24"/>
          <w:szCs w:val="24"/>
        </w:rPr>
        <w:t xml:space="preserve"> relationship between all the new and reshaped </w:t>
      </w:r>
      <w:r w:rsidR="00076F92">
        <w:rPr>
          <w:rFonts w:ascii="Times New Roman" w:hAnsi="Times New Roman" w:cs="Times New Roman"/>
          <w:sz w:val="24"/>
          <w:szCs w:val="24"/>
        </w:rPr>
        <w:t>bodies: the Higher Education Standards Panel, TEQSA</w:t>
      </w:r>
      <w:r w:rsidR="0070474A">
        <w:rPr>
          <w:rFonts w:ascii="Times New Roman" w:hAnsi="Times New Roman" w:cs="Times New Roman"/>
          <w:sz w:val="24"/>
          <w:szCs w:val="24"/>
        </w:rPr>
        <w:t>,</w:t>
      </w:r>
      <w:r w:rsidR="00076F92">
        <w:rPr>
          <w:rFonts w:ascii="Times New Roman" w:hAnsi="Times New Roman" w:cs="Times New Roman"/>
          <w:sz w:val="24"/>
          <w:szCs w:val="24"/>
        </w:rPr>
        <w:t xml:space="preserve"> and other groups such as </w:t>
      </w:r>
      <w:r w:rsidR="0070474A">
        <w:rPr>
          <w:rFonts w:ascii="Times New Roman" w:hAnsi="Times New Roman" w:cs="Times New Roman"/>
          <w:sz w:val="24"/>
          <w:szCs w:val="24"/>
        </w:rPr>
        <w:t>the Office of Learning and Teaching (</w:t>
      </w:r>
      <w:r w:rsidR="00076F92">
        <w:rPr>
          <w:rFonts w:ascii="Times New Roman" w:hAnsi="Times New Roman" w:cs="Times New Roman"/>
          <w:sz w:val="24"/>
          <w:szCs w:val="24"/>
        </w:rPr>
        <w:t>OLT</w:t>
      </w:r>
      <w:r w:rsidR="0070474A">
        <w:rPr>
          <w:rFonts w:ascii="Times New Roman" w:hAnsi="Times New Roman" w:cs="Times New Roman"/>
          <w:sz w:val="24"/>
          <w:szCs w:val="24"/>
        </w:rPr>
        <w:t>)</w:t>
      </w:r>
      <w:r w:rsidR="00076F92">
        <w:rPr>
          <w:rFonts w:ascii="Times New Roman" w:hAnsi="Times New Roman" w:cs="Times New Roman"/>
          <w:sz w:val="24"/>
          <w:szCs w:val="24"/>
        </w:rPr>
        <w:t xml:space="preserve"> and the Advancing Quality in Higher Education</w:t>
      </w:r>
      <w:r w:rsidR="0070474A">
        <w:rPr>
          <w:rFonts w:ascii="Times New Roman" w:hAnsi="Times New Roman" w:cs="Times New Roman"/>
          <w:sz w:val="24"/>
          <w:szCs w:val="24"/>
        </w:rPr>
        <w:t xml:space="preserve"> (AQHE)</w:t>
      </w:r>
      <w:r w:rsidR="00076F92">
        <w:rPr>
          <w:rFonts w:ascii="Times New Roman" w:hAnsi="Times New Roman" w:cs="Times New Roman"/>
          <w:sz w:val="24"/>
          <w:szCs w:val="24"/>
        </w:rPr>
        <w:t xml:space="preserve"> reference group?  Where does the Com</w:t>
      </w:r>
      <w:r w:rsidR="0070474A">
        <w:rPr>
          <w:rFonts w:ascii="Times New Roman" w:hAnsi="Times New Roman" w:cs="Times New Roman"/>
          <w:sz w:val="24"/>
          <w:szCs w:val="24"/>
        </w:rPr>
        <w:t>pacts system fit and how will it pan out for universities</w:t>
      </w:r>
      <w:r w:rsidR="00076F92">
        <w:rPr>
          <w:rFonts w:ascii="Times New Roman" w:hAnsi="Times New Roman" w:cs="Times New Roman"/>
          <w:sz w:val="24"/>
          <w:szCs w:val="24"/>
        </w:rPr>
        <w:t xml:space="preserve">?  Will the five TEQSA </w:t>
      </w:r>
      <w:r w:rsidR="006F7D49">
        <w:rPr>
          <w:rFonts w:ascii="Times New Roman" w:hAnsi="Times New Roman" w:cs="Times New Roman"/>
          <w:sz w:val="24"/>
          <w:szCs w:val="24"/>
        </w:rPr>
        <w:t xml:space="preserve">sets of </w:t>
      </w:r>
      <w:r w:rsidR="00076F92">
        <w:rPr>
          <w:rFonts w:ascii="Times New Roman" w:hAnsi="Times New Roman" w:cs="Times New Roman"/>
          <w:sz w:val="24"/>
          <w:szCs w:val="24"/>
        </w:rPr>
        <w:t>standards operate separately in terms of regulation of both self-accred</w:t>
      </w:r>
      <w:r w:rsidR="00F4230F">
        <w:rPr>
          <w:rFonts w:ascii="Times New Roman" w:hAnsi="Times New Roman" w:cs="Times New Roman"/>
          <w:sz w:val="24"/>
          <w:szCs w:val="24"/>
        </w:rPr>
        <w:t>iting universities and non-self-</w:t>
      </w:r>
      <w:r w:rsidR="00076F92">
        <w:rPr>
          <w:rFonts w:ascii="Times New Roman" w:hAnsi="Times New Roman" w:cs="Times New Roman"/>
          <w:sz w:val="24"/>
          <w:szCs w:val="24"/>
        </w:rPr>
        <w:t xml:space="preserve">accrediting institutions (private providers) and will TEQSA be bound to consider only those Standards as formulated or can other factors be taken into account? </w:t>
      </w:r>
      <w:r w:rsidR="008A021B">
        <w:rPr>
          <w:rFonts w:ascii="Times New Roman" w:hAnsi="Times New Roman" w:cs="Times New Roman"/>
          <w:sz w:val="24"/>
          <w:szCs w:val="24"/>
        </w:rPr>
        <w:t xml:space="preserve"> </w:t>
      </w:r>
      <w:r w:rsidR="006F7D49">
        <w:rPr>
          <w:rFonts w:ascii="Times New Roman" w:hAnsi="Times New Roman" w:cs="Times New Roman"/>
          <w:sz w:val="24"/>
          <w:szCs w:val="24"/>
        </w:rPr>
        <w:t>How will the sector cope, or importantly, aim to reduce, the inevitable ensuing paper work</w:t>
      </w:r>
      <w:r>
        <w:rPr>
          <w:rFonts w:ascii="Times New Roman" w:hAnsi="Times New Roman" w:cs="Times New Roman"/>
          <w:sz w:val="24"/>
          <w:szCs w:val="24"/>
        </w:rPr>
        <w:t xml:space="preserve"> and bureaucracy?</w:t>
      </w:r>
    </w:p>
    <w:p w:rsidR="00A64CA3" w:rsidRDefault="00EE7839" w:rsidP="00A64CA3">
      <w:pPr>
        <w:spacing w:before="100" w:beforeAutospacing="1" w:after="100" w:afterAutospacing="1" w:line="360" w:lineRule="auto"/>
        <w:ind w:right="437"/>
        <w:rPr>
          <w:rFonts w:ascii="Times New Roman" w:hAnsi="Times New Roman" w:cs="Times New Roman"/>
          <w:sz w:val="24"/>
          <w:szCs w:val="24"/>
        </w:rPr>
      </w:pPr>
      <w:r>
        <w:rPr>
          <w:rFonts w:ascii="Times New Roman" w:hAnsi="Times New Roman" w:cs="Times New Roman"/>
          <w:sz w:val="24"/>
          <w:szCs w:val="24"/>
        </w:rPr>
        <w:t xml:space="preserve">And what of </w:t>
      </w:r>
      <w:r w:rsidR="004B778F">
        <w:rPr>
          <w:rFonts w:ascii="Times New Roman" w:hAnsi="Times New Roman" w:cs="Times New Roman"/>
          <w:sz w:val="24"/>
          <w:szCs w:val="24"/>
        </w:rPr>
        <w:t xml:space="preserve">the central group of </w:t>
      </w:r>
      <w:r w:rsidR="006F7D49">
        <w:rPr>
          <w:rFonts w:ascii="Times New Roman" w:hAnsi="Times New Roman" w:cs="Times New Roman"/>
          <w:sz w:val="24"/>
          <w:szCs w:val="24"/>
        </w:rPr>
        <w:t xml:space="preserve">stakeholders, </w:t>
      </w:r>
      <w:r w:rsidR="004B778F">
        <w:rPr>
          <w:rFonts w:ascii="Times New Roman" w:hAnsi="Times New Roman" w:cs="Times New Roman"/>
          <w:sz w:val="24"/>
          <w:szCs w:val="24"/>
        </w:rPr>
        <w:t>on whom the system relies</w:t>
      </w:r>
      <w:r>
        <w:rPr>
          <w:rFonts w:ascii="Times New Roman" w:hAnsi="Times New Roman" w:cs="Times New Roman"/>
          <w:sz w:val="24"/>
          <w:szCs w:val="24"/>
        </w:rPr>
        <w:t>, the academics</w:t>
      </w:r>
      <w:r w:rsidR="004B778F">
        <w:rPr>
          <w:rFonts w:ascii="Times New Roman" w:hAnsi="Times New Roman" w:cs="Times New Roman"/>
          <w:sz w:val="24"/>
          <w:szCs w:val="24"/>
        </w:rPr>
        <w:t xml:space="preserve">?  They </w:t>
      </w:r>
      <w:r w:rsidR="008A021B">
        <w:rPr>
          <w:rFonts w:ascii="Times New Roman" w:hAnsi="Times New Roman" w:cs="Times New Roman"/>
          <w:sz w:val="24"/>
          <w:szCs w:val="24"/>
        </w:rPr>
        <w:t>seem to be overlooked thus far</w:t>
      </w:r>
      <w:r w:rsidR="006F7D49">
        <w:rPr>
          <w:rFonts w:ascii="Times New Roman" w:hAnsi="Times New Roman" w:cs="Times New Roman"/>
          <w:sz w:val="24"/>
          <w:szCs w:val="24"/>
        </w:rPr>
        <w:t xml:space="preserve">.  </w:t>
      </w:r>
      <w:r w:rsidR="000E4BC2">
        <w:rPr>
          <w:rFonts w:ascii="Times New Roman" w:hAnsi="Times New Roman" w:cs="Times New Roman"/>
          <w:sz w:val="24"/>
          <w:szCs w:val="24"/>
        </w:rPr>
        <w:t>Comfortingly, this chasm has been</w:t>
      </w:r>
      <w:r w:rsidR="00C41BE2">
        <w:rPr>
          <w:rFonts w:ascii="Times New Roman" w:hAnsi="Times New Roman" w:cs="Times New Roman"/>
          <w:sz w:val="24"/>
          <w:szCs w:val="24"/>
        </w:rPr>
        <w:t xml:space="preserve"> recognised by </w:t>
      </w:r>
      <w:r w:rsidR="000E4BC2">
        <w:rPr>
          <w:rFonts w:ascii="Times New Roman" w:hAnsi="Times New Roman" w:cs="Times New Roman"/>
          <w:sz w:val="24"/>
          <w:szCs w:val="24"/>
        </w:rPr>
        <w:t xml:space="preserve">Dr Carol </w:t>
      </w:r>
      <w:proofErr w:type="spellStart"/>
      <w:r w:rsidR="000E4BC2">
        <w:rPr>
          <w:rFonts w:ascii="Times New Roman" w:hAnsi="Times New Roman" w:cs="Times New Roman"/>
          <w:sz w:val="24"/>
          <w:szCs w:val="24"/>
        </w:rPr>
        <w:t>Nicholl</w:t>
      </w:r>
      <w:proofErr w:type="spellEnd"/>
      <w:r w:rsidR="000E4BC2">
        <w:rPr>
          <w:rFonts w:ascii="Times New Roman" w:hAnsi="Times New Roman" w:cs="Times New Roman"/>
          <w:sz w:val="24"/>
          <w:szCs w:val="24"/>
        </w:rPr>
        <w:t>, Ch</w:t>
      </w:r>
      <w:r w:rsidR="002846D6">
        <w:rPr>
          <w:rFonts w:ascii="Times New Roman" w:hAnsi="Times New Roman" w:cs="Times New Roman"/>
          <w:sz w:val="24"/>
          <w:szCs w:val="24"/>
        </w:rPr>
        <w:t xml:space="preserve">ief Commissioner of TEQSA who </w:t>
      </w:r>
      <w:r w:rsidR="000E4BC2">
        <w:rPr>
          <w:rFonts w:ascii="Times New Roman" w:hAnsi="Times New Roman" w:cs="Times New Roman"/>
          <w:sz w:val="24"/>
          <w:szCs w:val="24"/>
        </w:rPr>
        <w:t>has stated</w:t>
      </w:r>
      <w:r w:rsidR="00C41BE2">
        <w:rPr>
          <w:rFonts w:ascii="Times New Roman" w:hAnsi="Times New Roman" w:cs="Times New Roman"/>
          <w:sz w:val="24"/>
          <w:szCs w:val="24"/>
        </w:rPr>
        <w:t xml:space="preserve"> </w:t>
      </w:r>
      <w:r w:rsidR="0070474A">
        <w:rPr>
          <w:rFonts w:ascii="Times New Roman" w:hAnsi="Times New Roman" w:cs="Times New Roman"/>
          <w:sz w:val="24"/>
          <w:szCs w:val="24"/>
        </w:rPr>
        <w:t>that in her view</w:t>
      </w:r>
      <w:r w:rsidR="00C41BE2">
        <w:rPr>
          <w:rFonts w:ascii="Times New Roman" w:hAnsi="Times New Roman" w:cs="Times New Roman"/>
          <w:sz w:val="24"/>
          <w:szCs w:val="24"/>
        </w:rPr>
        <w:t xml:space="preserve"> </w:t>
      </w:r>
      <w:r w:rsidR="008A021B">
        <w:rPr>
          <w:rFonts w:ascii="Times New Roman" w:hAnsi="Times New Roman" w:cs="Times New Roman"/>
          <w:sz w:val="24"/>
          <w:szCs w:val="24"/>
        </w:rPr>
        <w:t xml:space="preserve">one of the tensions in the new environment within the sector is that between the senior executives, and the </w:t>
      </w:r>
      <w:r w:rsidR="0070474A">
        <w:rPr>
          <w:rFonts w:ascii="Times New Roman" w:hAnsi="Times New Roman" w:cs="Times New Roman"/>
          <w:sz w:val="24"/>
          <w:szCs w:val="24"/>
        </w:rPr>
        <w:t>‘</w:t>
      </w:r>
      <w:r w:rsidR="008A021B">
        <w:rPr>
          <w:rFonts w:ascii="Times New Roman" w:hAnsi="Times New Roman" w:cs="Times New Roman"/>
          <w:sz w:val="24"/>
          <w:szCs w:val="24"/>
        </w:rPr>
        <w:t>lived experience</w:t>
      </w:r>
      <w:r w:rsidR="0070474A">
        <w:rPr>
          <w:rFonts w:ascii="Times New Roman" w:hAnsi="Times New Roman" w:cs="Times New Roman"/>
          <w:sz w:val="24"/>
          <w:szCs w:val="24"/>
        </w:rPr>
        <w:t>’</w:t>
      </w:r>
      <w:r w:rsidR="008A021B">
        <w:rPr>
          <w:rFonts w:ascii="Times New Roman" w:hAnsi="Times New Roman" w:cs="Times New Roman"/>
          <w:sz w:val="24"/>
          <w:szCs w:val="24"/>
        </w:rPr>
        <w:t xml:space="preserve"> of academics as it plays out on a daily basis.</w:t>
      </w:r>
      <w:r w:rsidR="00C41BE2">
        <w:rPr>
          <w:rStyle w:val="FootnoteReference"/>
          <w:sz w:val="24"/>
          <w:szCs w:val="24"/>
        </w:rPr>
        <w:footnoteReference w:id="106"/>
      </w:r>
      <w:r w:rsidR="008A021B">
        <w:rPr>
          <w:rFonts w:ascii="Times New Roman" w:hAnsi="Times New Roman" w:cs="Times New Roman"/>
          <w:sz w:val="24"/>
          <w:szCs w:val="24"/>
        </w:rPr>
        <w:t xml:space="preserve">  </w:t>
      </w:r>
      <w:r w:rsidR="00C41BE2">
        <w:rPr>
          <w:rFonts w:ascii="Times New Roman" w:hAnsi="Times New Roman" w:cs="Times New Roman"/>
          <w:sz w:val="24"/>
          <w:szCs w:val="24"/>
        </w:rPr>
        <w:t>T</w:t>
      </w:r>
      <w:r w:rsidR="002846D6">
        <w:rPr>
          <w:rFonts w:ascii="Times New Roman" w:hAnsi="Times New Roman" w:cs="Times New Roman"/>
          <w:sz w:val="24"/>
          <w:szCs w:val="24"/>
        </w:rPr>
        <w:t>he many, often competing</w:t>
      </w:r>
      <w:r w:rsidR="00C41BE2">
        <w:rPr>
          <w:rFonts w:ascii="Times New Roman" w:hAnsi="Times New Roman" w:cs="Times New Roman"/>
          <w:sz w:val="24"/>
          <w:szCs w:val="24"/>
        </w:rPr>
        <w:t xml:space="preserve"> demands on </w:t>
      </w:r>
      <w:r w:rsidR="008A021B">
        <w:rPr>
          <w:rFonts w:ascii="Times New Roman" w:hAnsi="Times New Roman" w:cs="Times New Roman"/>
          <w:sz w:val="24"/>
          <w:szCs w:val="24"/>
        </w:rPr>
        <w:t>individual academics</w:t>
      </w:r>
      <w:r w:rsidR="002846D6">
        <w:rPr>
          <w:rFonts w:ascii="Times New Roman" w:hAnsi="Times New Roman" w:cs="Times New Roman"/>
          <w:sz w:val="24"/>
          <w:szCs w:val="24"/>
        </w:rPr>
        <w:t xml:space="preserve"> are ever </w:t>
      </w:r>
      <w:r w:rsidR="00C41BE2">
        <w:rPr>
          <w:rFonts w:ascii="Times New Roman" w:hAnsi="Times New Roman" w:cs="Times New Roman"/>
          <w:sz w:val="24"/>
          <w:szCs w:val="24"/>
        </w:rPr>
        <w:t>clear</w:t>
      </w:r>
      <w:r w:rsidR="002846D6">
        <w:rPr>
          <w:rFonts w:ascii="Times New Roman" w:hAnsi="Times New Roman" w:cs="Times New Roman"/>
          <w:sz w:val="24"/>
          <w:szCs w:val="24"/>
        </w:rPr>
        <w:t>er</w:t>
      </w:r>
      <w:r w:rsidR="00C41BE2">
        <w:rPr>
          <w:rFonts w:ascii="Times New Roman" w:hAnsi="Times New Roman" w:cs="Times New Roman"/>
          <w:sz w:val="24"/>
          <w:szCs w:val="24"/>
        </w:rPr>
        <w:t>.  They are at the forefront of</w:t>
      </w:r>
      <w:r w:rsidR="008A021B">
        <w:rPr>
          <w:rFonts w:ascii="Times New Roman" w:hAnsi="Times New Roman" w:cs="Times New Roman"/>
          <w:sz w:val="24"/>
          <w:szCs w:val="24"/>
        </w:rPr>
        <w:t xml:space="preserve"> maintain</w:t>
      </w:r>
      <w:r w:rsidR="00C41BE2">
        <w:rPr>
          <w:rFonts w:ascii="Times New Roman" w:hAnsi="Times New Roman" w:cs="Times New Roman"/>
          <w:sz w:val="24"/>
          <w:szCs w:val="24"/>
        </w:rPr>
        <w:t>ing quality in their courses</w:t>
      </w:r>
      <w:r w:rsidR="000E4BC2">
        <w:rPr>
          <w:rFonts w:ascii="Times New Roman" w:hAnsi="Times New Roman" w:cs="Times New Roman"/>
          <w:sz w:val="24"/>
          <w:szCs w:val="24"/>
        </w:rPr>
        <w:t>,</w:t>
      </w:r>
      <w:r w:rsidR="00C41BE2">
        <w:rPr>
          <w:rFonts w:ascii="Times New Roman" w:hAnsi="Times New Roman" w:cs="Times New Roman"/>
          <w:sz w:val="24"/>
          <w:szCs w:val="24"/>
        </w:rPr>
        <w:t xml:space="preserve"> and</w:t>
      </w:r>
      <w:r w:rsidR="008A021B">
        <w:rPr>
          <w:rFonts w:ascii="Times New Roman" w:hAnsi="Times New Roman" w:cs="Times New Roman"/>
          <w:sz w:val="24"/>
          <w:szCs w:val="24"/>
        </w:rPr>
        <w:t xml:space="preserve"> excellence in teaching and learning</w:t>
      </w:r>
      <w:r w:rsidR="000E4BC2">
        <w:rPr>
          <w:rFonts w:ascii="Times New Roman" w:hAnsi="Times New Roman" w:cs="Times New Roman"/>
          <w:sz w:val="24"/>
          <w:szCs w:val="24"/>
        </w:rPr>
        <w:t>.  They are required</w:t>
      </w:r>
      <w:r w:rsidR="008A021B">
        <w:rPr>
          <w:rFonts w:ascii="Times New Roman" w:hAnsi="Times New Roman" w:cs="Times New Roman"/>
          <w:sz w:val="24"/>
          <w:szCs w:val="24"/>
        </w:rPr>
        <w:t xml:space="preserve"> </w:t>
      </w:r>
      <w:r w:rsidR="000E4BC2">
        <w:rPr>
          <w:rFonts w:ascii="Times New Roman" w:hAnsi="Times New Roman" w:cs="Times New Roman"/>
          <w:sz w:val="24"/>
          <w:szCs w:val="24"/>
        </w:rPr>
        <w:t>to demonstrate quality in their research by evidenc</w:t>
      </w:r>
      <w:r w:rsidR="00A64CA3">
        <w:rPr>
          <w:rFonts w:ascii="Times New Roman" w:hAnsi="Times New Roman" w:cs="Times New Roman"/>
          <w:sz w:val="24"/>
          <w:szCs w:val="24"/>
        </w:rPr>
        <w:t xml:space="preserve">e of its impact.  All </w:t>
      </w:r>
      <w:r w:rsidR="000E4BC2">
        <w:rPr>
          <w:rFonts w:ascii="Times New Roman" w:hAnsi="Times New Roman" w:cs="Times New Roman"/>
          <w:sz w:val="24"/>
          <w:szCs w:val="24"/>
        </w:rPr>
        <w:t xml:space="preserve">the </w:t>
      </w:r>
      <w:r w:rsidR="008A021B">
        <w:rPr>
          <w:rFonts w:ascii="Times New Roman" w:hAnsi="Times New Roman" w:cs="Times New Roman"/>
          <w:sz w:val="24"/>
          <w:szCs w:val="24"/>
        </w:rPr>
        <w:t xml:space="preserve">while </w:t>
      </w:r>
      <w:r w:rsidR="000E4BC2">
        <w:rPr>
          <w:rFonts w:ascii="Times New Roman" w:hAnsi="Times New Roman" w:cs="Times New Roman"/>
          <w:sz w:val="24"/>
          <w:szCs w:val="24"/>
        </w:rPr>
        <w:t>they must deal with and absorb the rapid</w:t>
      </w:r>
      <w:r w:rsidR="00C41BE2">
        <w:rPr>
          <w:rFonts w:ascii="Times New Roman" w:hAnsi="Times New Roman" w:cs="Times New Roman"/>
          <w:sz w:val="24"/>
          <w:szCs w:val="24"/>
        </w:rPr>
        <w:t xml:space="preserve"> </w:t>
      </w:r>
      <w:r w:rsidR="00A64CA3">
        <w:rPr>
          <w:rFonts w:ascii="Times New Roman" w:hAnsi="Times New Roman" w:cs="Times New Roman"/>
          <w:sz w:val="24"/>
          <w:szCs w:val="24"/>
        </w:rPr>
        <w:t>advance</w:t>
      </w:r>
      <w:r w:rsidR="000E4BC2">
        <w:rPr>
          <w:rFonts w:ascii="Times New Roman" w:hAnsi="Times New Roman" w:cs="Times New Roman"/>
          <w:sz w:val="24"/>
          <w:szCs w:val="24"/>
        </w:rPr>
        <w:t xml:space="preserve"> </w:t>
      </w:r>
      <w:r w:rsidR="00C41BE2">
        <w:rPr>
          <w:rFonts w:ascii="Times New Roman" w:hAnsi="Times New Roman" w:cs="Times New Roman"/>
          <w:sz w:val="24"/>
          <w:szCs w:val="24"/>
        </w:rPr>
        <w:t>of technology</w:t>
      </w:r>
      <w:r w:rsidR="00A64CA3">
        <w:rPr>
          <w:rFonts w:ascii="Times New Roman" w:hAnsi="Times New Roman" w:cs="Times New Roman"/>
          <w:sz w:val="24"/>
          <w:szCs w:val="24"/>
        </w:rPr>
        <w:t xml:space="preserve"> into all aspects of their work</w:t>
      </w:r>
      <w:r w:rsidR="00C41BE2">
        <w:rPr>
          <w:rFonts w:ascii="Times New Roman" w:hAnsi="Times New Roman" w:cs="Times New Roman"/>
          <w:sz w:val="24"/>
          <w:szCs w:val="24"/>
        </w:rPr>
        <w:t xml:space="preserve">.  </w:t>
      </w:r>
    </w:p>
    <w:p w:rsidR="009736AD" w:rsidRDefault="00A64CA3" w:rsidP="00F10B96">
      <w:pPr>
        <w:spacing w:before="100" w:beforeAutospacing="1" w:after="100" w:afterAutospacing="1" w:line="360" w:lineRule="auto"/>
        <w:ind w:right="437"/>
        <w:rPr>
          <w:rFonts w:ascii="Times New Roman" w:eastAsia="Times New Roman" w:hAnsi="Times New Roman" w:cs="Times New Roman"/>
          <w:bCs/>
          <w:sz w:val="24"/>
          <w:szCs w:val="24"/>
        </w:rPr>
      </w:pPr>
      <w:r>
        <w:rPr>
          <w:rFonts w:ascii="Times New Roman" w:hAnsi="Times New Roman" w:cs="Times New Roman"/>
          <w:sz w:val="24"/>
          <w:szCs w:val="24"/>
        </w:rPr>
        <w:t>The g</w:t>
      </w:r>
      <w:r w:rsidR="008A021B">
        <w:rPr>
          <w:rFonts w:ascii="Times New Roman" w:hAnsi="Times New Roman" w:cs="Times New Roman"/>
          <w:sz w:val="24"/>
          <w:szCs w:val="24"/>
        </w:rPr>
        <w:t xml:space="preserve">overnment </w:t>
      </w:r>
      <w:r>
        <w:rPr>
          <w:rFonts w:ascii="Times New Roman" w:hAnsi="Times New Roman" w:cs="Times New Roman"/>
          <w:sz w:val="24"/>
          <w:szCs w:val="24"/>
        </w:rPr>
        <w:t xml:space="preserve">is under pressure to ensure the </w:t>
      </w:r>
      <w:r w:rsidR="008A021B">
        <w:rPr>
          <w:rFonts w:ascii="Times New Roman" w:hAnsi="Times New Roman" w:cs="Times New Roman"/>
          <w:sz w:val="24"/>
          <w:szCs w:val="24"/>
        </w:rPr>
        <w:t xml:space="preserve">fiscal sustainability </w:t>
      </w:r>
      <w:r>
        <w:rPr>
          <w:rFonts w:ascii="Times New Roman" w:hAnsi="Times New Roman" w:cs="Times New Roman"/>
          <w:sz w:val="24"/>
          <w:szCs w:val="24"/>
        </w:rPr>
        <w:t xml:space="preserve">of higher education </w:t>
      </w:r>
      <w:r w:rsidR="008A021B">
        <w:rPr>
          <w:rFonts w:ascii="Times New Roman" w:hAnsi="Times New Roman" w:cs="Times New Roman"/>
          <w:sz w:val="24"/>
          <w:szCs w:val="24"/>
        </w:rPr>
        <w:t xml:space="preserve">outside the vulnerabilities of the </w:t>
      </w:r>
      <w:r w:rsidR="00534E9C">
        <w:rPr>
          <w:rFonts w:ascii="Times New Roman" w:hAnsi="Times New Roman" w:cs="Times New Roman"/>
          <w:sz w:val="24"/>
          <w:szCs w:val="24"/>
        </w:rPr>
        <w:t>international market</w:t>
      </w:r>
      <w:r w:rsidR="00A2190C">
        <w:rPr>
          <w:rFonts w:ascii="Times New Roman" w:hAnsi="Times New Roman" w:cs="Times New Roman"/>
          <w:sz w:val="24"/>
          <w:szCs w:val="24"/>
        </w:rPr>
        <w:t>, and the sector awaits its response to the Final Report of the Review of Bulk Funding.</w:t>
      </w:r>
      <w:r w:rsidR="00A2190C">
        <w:rPr>
          <w:rStyle w:val="FootnoteReference"/>
          <w:sz w:val="24"/>
          <w:szCs w:val="24"/>
        </w:rPr>
        <w:footnoteReference w:id="107"/>
      </w:r>
      <w:r w:rsidR="00A2190C">
        <w:rPr>
          <w:rFonts w:ascii="Times New Roman" w:hAnsi="Times New Roman" w:cs="Times New Roman"/>
          <w:sz w:val="24"/>
          <w:szCs w:val="24"/>
        </w:rPr>
        <w:t xml:space="preserve">  </w:t>
      </w:r>
      <w:r>
        <w:rPr>
          <w:rFonts w:ascii="Times New Roman" w:hAnsi="Times New Roman" w:cs="Times New Roman"/>
          <w:sz w:val="24"/>
          <w:szCs w:val="24"/>
        </w:rPr>
        <w:t>In a demand-driven system, h</w:t>
      </w:r>
      <w:r w:rsidR="00C41BE2">
        <w:rPr>
          <w:rFonts w:ascii="Times New Roman" w:hAnsi="Times New Roman" w:cs="Times New Roman"/>
          <w:sz w:val="24"/>
          <w:szCs w:val="24"/>
        </w:rPr>
        <w:t xml:space="preserve">ow much longer will </w:t>
      </w:r>
      <w:r>
        <w:rPr>
          <w:rFonts w:ascii="Times New Roman" w:hAnsi="Times New Roman" w:cs="Times New Roman"/>
          <w:sz w:val="24"/>
          <w:szCs w:val="24"/>
        </w:rPr>
        <w:t>it be able to r</w:t>
      </w:r>
      <w:r w:rsidR="00C41BE2">
        <w:rPr>
          <w:rFonts w:ascii="Times New Roman" w:hAnsi="Times New Roman" w:cs="Times New Roman"/>
          <w:sz w:val="24"/>
          <w:szCs w:val="24"/>
        </w:rPr>
        <w:t>esist the</w:t>
      </w:r>
      <w:r w:rsidR="000E4BC2">
        <w:rPr>
          <w:rFonts w:ascii="Times New Roman" w:hAnsi="Times New Roman" w:cs="Times New Roman"/>
          <w:sz w:val="24"/>
          <w:szCs w:val="24"/>
        </w:rPr>
        <w:t xml:space="preserve"> </w:t>
      </w:r>
      <w:r>
        <w:rPr>
          <w:rFonts w:ascii="Times New Roman" w:hAnsi="Times New Roman" w:cs="Times New Roman"/>
          <w:sz w:val="24"/>
          <w:szCs w:val="24"/>
        </w:rPr>
        <w:t>argument for deregulation of university fees?</w:t>
      </w:r>
      <w:r w:rsidRPr="00FA16E3">
        <w:rPr>
          <w:rFonts w:ascii="Times New Roman" w:eastAsia="Times New Roman" w:hAnsi="Times New Roman" w:cs="Times New Roman"/>
          <w:bCs/>
          <w:sz w:val="24"/>
          <w:szCs w:val="24"/>
        </w:rPr>
        <w:t xml:space="preserve"> </w:t>
      </w:r>
      <w:r w:rsidR="002C5E93">
        <w:rPr>
          <w:rFonts w:ascii="Times New Roman" w:eastAsia="Times New Roman" w:hAnsi="Times New Roman" w:cs="Times New Roman"/>
          <w:bCs/>
          <w:sz w:val="24"/>
          <w:szCs w:val="24"/>
        </w:rPr>
        <w:t xml:space="preserve"> </w:t>
      </w:r>
      <w:r w:rsidR="002846D6">
        <w:rPr>
          <w:rFonts w:ascii="Times New Roman" w:eastAsia="Times New Roman" w:hAnsi="Times New Roman" w:cs="Times New Roman"/>
          <w:bCs/>
          <w:sz w:val="24"/>
          <w:szCs w:val="24"/>
        </w:rPr>
        <w:t xml:space="preserve"> A </w:t>
      </w:r>
      <w:r w:rsidR="005424F1">
        <w:rPr>
          <w:rFonts w:ascii="Times New Roman" w:eastAsia="Times New Roman" w:hAnsi="Times New Roman" w:cs="Times New Roman"/>
          <w:bCs/>
          <w:sz w:val="24"/>
          <w:szCs w:val="24"/>
        </w:rPr>
        <w:t xml:space="preserve">troubling </w:t>
      </w:r>
      <w:r w:rsidR="002846D6">
        <w:rPr>
          <w:rFonts w:ascii="Times New Roman" w:eastAsia="Times New Roman" w:hAnsi="Times New Roman" w:cs="Times New Roman"/>
          <w:bCs/>
          <w:sz w:val="24"/>
          <w:szCs w:val="24"/>
        </w:rPr>
        <w:t xml:space="preserve">report has just been released report by </w:t>
      </w:r>
      <w:r w:rsidR="002C5E93">
        <w:rPr>
          <w:rFonts w:ascii="Times New Roman" w:eastAsia="Times New Roman" w:hAnsi="Times New Roman" w:cs="Times New Roman"/>
          <w:bCs/>
          <w:sz w:val="24"/>
          <w:szCs w:val="24"/>
        </w:rPr>
        <w:t>the Grattan Institute, a government ‘think-tank’ which proposes a new public-interest test for government investment in higher education</w:t>
      </w:r>
      <w:r w:rsidR="005424F1">
        <w:rPr>
          <w:rFonts w:ascii="Times New Roman" w:eastAsia="Times New Roman" w:hAnsi="Times New Roman" w:cs="Times New Roman"/>
          <w:bCs/>
          <w:sz w:val="24"/>
          <w:szCs w:val="24"/>
        </w:rPr>
        <w:t>.</w:t>
      </w:r>
      <w:r w:rsidR="005424F1">
        <w:rPr>
          <w:rStyle w:val="FootnoteReference"/>
          <w:rFonts w:eastAsia="Times New Roman"/>
          <w:bCs/>
          <w:sz w:val="24"/>
          <w:szCs w:val="24"/>
        </w:rPr>
        <w:footnoteReference w:id="108"/>
      </w:r>
      <w:r w:rsidR="005424F1">
        <w:rPr>
          <w:rFonts w:ascii="Times New Roman" w:eastAsia="Times New Roman" w:hAnsi="Times New Roman" w:cs="Times New Roman"/>
          <w:bCs/>
          <w:sz w:val="24"/>
          <w:szCs w:val="24"/>
        </w:rPr>
        <w:t xml:space="preserve">  In essence it propounds the removal of university subsidies for courses for which the private benefit to the student in terms of job opportunities, income and status, outweigh the benefit to society</w:t>
      </w:r>
      <w:r w:rsidR="00F10B96">
        <w:rPr>
          <w:rFonts w:ascii="Times New Roman" w:eastAsia="Times New Roman" w:hAnsi="Times New Roman" w:cs="Times New Roman"/>
          <w:bCs/>
          <w:sz w:val="24"/>
          <w:szCs w:val="24"/>
        </w:rPr>
        <w:t>. The media statement heralding release</w:t>
      </w:r>
      <w:r w:rsidR="009736AD">
        <w:rPr>
          <w:rFonts w:ascii="Times New Roman" w:eastAsia="Times New Roman" w:hAnsi="Times New Roman" w:cs="Times New Roman"/>
          <w:bCs/>
          <w:sz w:val="24"/>
          <w:szCs w:val="24"/>
        </w:rPr>
        <w:t xml:space="preserve"> of the report says: </w:t>
      </w:r>
    </w:p>
    <w:p w:rsidR="009736AD" w:rsidRDefault="00F22C66" w:rsidP="009736AD">
      <w:pPr>
        <w:tabs>
          <w:tab w:val="left" w:pos="7371"/>
        </w:tabs>
        <w:spacing w:before="100" w:beforeAutospacing="1" w:after="100" w:afterAutospacing="1" w:line="240" w:lineRule="auto"/>
        <w:ind w:left="851" w:right="2277"/>
        <w:rPr>
          <w:rFonts w:ascii="Times New Roman" w:eastAsia="Times New Roman" w:hAnsi="Times New Roman" w:cs="Times New Roman"/>
          <w:bCs/>
          <w:sz w:val="24"/>
          <w:szCs w:val="24"/>
        </w:rPr>
      </w:pPr>
      <w:r w:rsidRPr="009736AD">
        <w:rPr>
          <w:rFonts w:ascii="Times New Roman" w:eastAsia="Times New Roman" w:hAnsi="Times New Roman" w:cs="Times New Roman"/>
          <w:bCs/>
          <w:sz w:val="20"/>
          <w:szCs w:val="20"/>
        </w:rPr>
        <w:t>Tuition subsidies merely redistribute income to students and graduates.  The general public particularly those who do not go to university, are worse off</w:t>
      </w:r>
      <w:r w:rsidR="009736AD" w:rsidRPr="009736AD">
        <w:rPr>
          <w:rFonts w:ascii="Times New Roman" w:eastAsia="Times New Roman" w:hAnsi="Times New Roman" w:cs="Times New Roman"/>
          <w:bCs/>
          <w:sz w:val="20"/>
          <w:szCs w:val="20"/>
        </w:rPr>
        <w:t>.  They forgo other government benefits or pay higher taxes while receiving nothing additional in return</w:t>
      </w:r>
      <w:r w:rsidR="00F10B96" w:rsidRPr="009736AD">
        <w:rPr>
          <w:rFonts w:ascii="Times New Roman" w:eastAsia="Times New Roman" w:hAnsi="Times New Roman" w:cs="Times New Roman"/>
          <w:bCs/>
          <w:sz w:val="20"/>
          <w:szCs w:val="20"/>
        </w:rPr>
        <w:t>.</w:t>
      </w:r>
      <w:r w:rsidR="00F10B96" w:rsidRPr="009736AD">
        <w:rPr>
          <w:rStyle w:val="FootnoteReference"/>
          <w:rFonts w:eastAsia="Times New Roman"/>
          <w:bCs/>
          <w:sz w:val="20"/>
          <w:szCs w:val="20"/>
        </w:rPr>
        <w:footnoteReference w:id="109"/>
      </w:r>
      <w:r w:rsidR="0070474A" w:rsidRPr="009736AD">
        <w:rPr>
          <w:rFonts w:ascii="Times New Roman" w:eastAsia="Times New Roman" w:hAnsi="Times New Roman" w:cs="Times New Roman"/>
          <w:bCs/>
          <w:sz w:val="20"/>
          <w:szCs w:val="20"/>
        </w:rPr>
        <w:t xml:space="preserve"> </w:t>
      </w:r>
      <w:r w:rsidR="00F10B96" w:rsidRPr="009736AD">
        <w:rPr>
          <w:rFonts w:ascii="Times New Roman" w:eastAsia="Times New Roman" w:hAnsi="Times New Roman" w:cs="Times New Roman"/>
          <w:bCs/>
          <w:sz w:val="20"/>
          <w:szCs w:val="20"/>
        </w:rPr>
        <w:t xml:space="preserve"> </w:t>
      </w:r>
    </w:p>
    <w:p w:rsidR="005424F1" w:rsidRPr="002846D6" w:rsidRDefault="009736AD" w:rsidP="00A2190C">
      <w:pPr>
        <w:spacing w:before="100" w:beforeAutospacing="1" w:after="100" w:afterAutospacing="1" w:line="360" w:lineRule="auto"/>
        <w:ind w:right="4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And the author goes on to say that in most cases and in his view, students would take their courses irrespective of the size of the subsidy.  In essence, the report minimizes the effect of tuition subsidies generally, saying that the public benefit of increasing the intellectual capital of any nations – increased taxation revenues, greater productivity and growth – could be achieved without the government’s paying.  Alarmingly, at first blush it runs counter to the government strategy of demand-driven education and widening participation.  However it is viewed, the report provides a strange and limited inte</w:t>
      </w:r>
      <w:r w:rsidR="002846D6">
        <w:rPr>
          <w:rFonts w:ascii="Times New Roman" w:eastAsia="Times New Roman" w:hAnsi="Times New Roman" w:cs="Times New Roman"/>
          <w:bCs/>
          <w:sz w:val="24"/>
          <w:szCs w:val="24"/>
        </w:rPr>
        <w:t xml:space="preserve">rpretation of ‘public benefit’.  </w:t>
      </w:r>
      <w:r w:rsidR="00F10B96">
        <w:rPr>
          <w:rFonts w:ascii="Times New Roman" w:eastAsia="Times New Roman" w:hAnsi="Times New Roman" w:cs="Times New Roman"/>
          <w:bCs/>
          <w:sz w:val="24"/>
          <w:szCs w:val="24"/>
        </w:rPr>
        <w:t xml:space="preserve">It is heartening that the response of the Government to the proposals has, thus far, been less than enthusiastic.  The Minister, </w:t>
      </w:r>
      <w:r w:rsidR="00A2190C">
        <w:rPr>
          <w:rFonts w:ascii="Times New Roman" w:eastAsia="Times New Roman" w:hAnsi="Times New Roman" w:cs="Times New Roman"/>
          <w:bCs/>
          <w:sz w:val="24"/>
          <w:szCs w:val="24"/>
        </w:rPr>
        <w:t xml:space="preserve">the Hon </w:t>
      </w:r>
      <w:r w:rsidR="00F10B96">
        <w:rPr>
          <w:rFonts w:ascii="Times New Roman" w:eastAsia="Times New Roman" w:hAnsi="Times New Roman" w:cs="Times New Roman"/>
          <w:bCs/>
          <w:sz w:val="24"/>
          <w:szCs w:val="24"/>
        </w:rPr>
        <w:t>Chris Evans, is reported as saying that increased fees would only act as a disincentive to students, but would also</w:t>
      </w:r>
      <w:r>
        <w:rPr>
          <w:rFonts w:ascii="Times New Roman" w:eastAsia="Times New Roman" w:hAnsi="Times New Roman" w:cs="Times New Roman"/>
          <w:bCs/>
          <w:sz w:val="24"/>
          <w:szCs w:val="24"/>
        </w:rPr>
        <w:t xml:space="preserve"> act as a deterrent to graduates undertaking work in high need, low paid areas.</w:t>
      </w:r>
      <w:r>
        <w:rPr>
          <w:rStyle w:val="FootnoteReference"/>
          <w:rFonts w:eastAsia="Times New Roman"/>
          <w:bCs/>
          <w:sz w:val="24"/>
          <w:szCs w:val="24"/>
        </w:rPr>
        <w:footnoteReference w:id="110"/>
      </w:r>
      <w:r w:rsidR="0070474A" w:rsidRPr="00F10B96">
        <w:rPr>
          <w:rFonts w:ascii="Times New Roman" w:eastAsia="Times New Roman" w:hAnsi="Times New Roman" w:cs="Times New Roman"/>
          <w:bCs/>
          <w:sz w:val="24"/>
          <w:szCs w:val="24"/>
        </w:rPr>
        <w:t xml:space="preserve"> </w:t>
      </w:r>
      <w:r w:rsidR="00A2190C">
        <w:rPr>
          <w:rFonts w:ascii="Times New Roman" w:eastAsia="Times New Roman" w:hAnsi="Times New Roman" w:cs="Times New Roman"/>
          <w:bCs/>
          <w:sz w:val="24"/>
          <w:szCs w:val="24"/>
        </w:rPr>
        <w:t xml:space="preserve"> </w:t>
      </w:r>
      <w:r w:rsidR="002846D6">
        <w:rPr>
          <w:rFonts w:ascii="Times New Roman" w:hAnsi="Times New Roman" w:cs="Times New Roman"/>
          <w:sz w:val="24"/>
          <w:szCs w:val="24"/>
        </w:rPr>
        <w:t>However, this</w:t>
      </w:r>
      <w:r>
        <w:rPr>
          <w:rFonts w:ascii="Times New Roman" w:hAnsi="Times New Roman" w:cs="Times New Roman"/>
          <w:sz w:val="24"/>
          <w:szCs w:val="24"/>
        </w:rPr>
        <w:t xml:space="preserve"> is the current Labour government.  Ma</w:t>
      </w:r>
      <w:r w:rsidR="005424F1">
        <w:rPr>
          <w:rFonts w:ascii="Times New Roman" w:hAnsi="Times New Roman" w:cs="Times New Roman"/>
          <w:sz w:val="24"/>
          <w:szCs w:val="24"/>
        </w:rPr>
        <w:t xml:space="preserve">ny predict a change </w:t>
      </w:r>
      <w:r>
        <w:rPr>
          <w:rFonts w:ascii="Times New Roman" w:hAnsi="Times New Roman" w:cs="Times New Roman"/>
          <w:sz w:val="24"/>
          <w:szCs w:val="24"/>
        </w:rPr>
        <w:t xml:space="preserve">to the right-wing Liberal party </w:t>
      </w:r>
      <w:r w:rsidR="005424F1">
        <w:rPr>
          <w:rFonts w:ascii="Times New Roman" w:hAnsi="Times New Roman" w:cs="Times New Roman"/>
          <w:sz w:val="24"/>
          <w:szCs w:val="24"/>
        </w:rPr>
        <w:t>in the next election, further u</w:t>
      </w:r>
      <w:r w:rsidR="00A2190C">
        <w:rPr>
          <w:rFonts w:ascii="Times New Roman" w:hAnsi="Times New Roman" w:cs="Times New Roman"/>
          <w:sz w:val="24"/>
          <w:szCs w:val="24"/>
        </w:rPr>
        <w:t>nsettling an already disturbed</w:t>
      </w:r>
      <w:r w:rsidR="005424F1">
        <w:rPr>
          <w:rFonts w:ascii="Times New Roman" w:hAnsi="Times New Roman" w:cs="Times New Roman"/>
          <w:sz w:val="24"/>
          <w:szCs w:val="24"/>
        </w:rPr>
        <w:t xml:space="preserve"> sector.  </w:t>
      </w:r>
    </w:p>
    <w:p w:rsidR="00A2190C" w:rsidRDefault="004B778F" w:rsidP="00A2190C">
      <w:pPr>
        <w:spacing w:before="100" w:beforeAutospacing="1" w:after="100" w:afterAutospacing="1" w:line="360" w:lineRule="auto"/>
        <w:ind w:right="437"/>
        <w:rPr>
          <w:rFonts w:ascii="Times New Roman" w:hAnsi="Times New Roman" w:cs="Times New Roman"/>
          <w:sz w:val="24"/>
          <w:szCs w:val="24"/>
        </w:rPr>
      </w:pPr>
      <w:r>
        <w:rPr>
          <w:rFonts w:ascii="Times New Roman" w:hAnsi="Times New Roman" w:cs="Times New Roman"/>
          <w:sz w:val="24"/>
          <w:szCs w:val="24"/>
        </w:rPr>
        <w:t>And then there is the ‘big question</w:t>
      </w:r>
      <w:r w:rsidR="00A2190C">
        <w:rPr>
          <w:rFonts w:ascii="Times New Roman" w:hAnsi="Times New Roman" w:cs="Times New Roman"/>
          <w:sz w:val="24"/>
          <w:szCs w:val="24"/>
        </w:rPr>
        <w:t>’</w:t>
      </w:r>
      <w:r>
        <w:rPr>
          <w:rFonts w:ascii="Times New Roman" w:hAnsi="Times New Roman" w:cs="Times New Roman"/>
          <w:sz w:val="24"/>
          <w:szCs w:val="24"/>
        </w:rPr>
        <w:t>:</w:t>
      </w:r>
      <w:r w:rsidR="00A2190C">
        <w:rPr>
          <w:rFonts w:ascii="Times New Roman" w:hAnsi="Times New Roman" w:cs="Times New Roman"/>
          <w:sz w:val="24"/>
          <w:szCs w:val="24"/>
        </w:rPr>
        <w:t xml:space="preserve"> are the models of a university and a university education sustainab</w:t>
      </w:r>
      <w:r w:rsidR="0036551F">
        <w:rPr>
          <w:rFonts w:ascii="Times New Roman" w:hAnsi="Times New Roman" w:cs="Times New Roman"/>
          <w:sz w:val="24"/>
          <w:szCs w:val="24"/>
        </w:rPr>
        <w:t>le into the future?  In the view of another Australian Vice-Chancellor</w:t>
      </w:r>
      <w:bookmarkStart w:id="0" w:name="_GoBack"/>
      <w:bookmarkEnd w:id="0"/>
      <w:r w:rsidR="0036551F">
        <w:rPr>
          <w:rFonts w:ascii="Times New Roman" w:hAnsi="Times New Roman" w:cs="Times New Roman"/>
          <w:sz w:val="24"/>
          <w:szCs w:val="24"/>
        </w:rPr>
        <w:t>:</w:t>
      </w:r>
      <w:r w:rsidR="0036551F">
        <w:rPr>
          <w:rStyle w:val="FootnoteReference"/>
          <w:sz w:val="24"/>
          <w:szCs w:val="24"/>
        </w:rPr>
        <w:footnoteReference w:id="111"/>
      </w:r>
      <w:r w:rsidR="0036551F">
        <w:rPr>
          <w:rFonts w:ascii="Times New Roman" w:hAnsi="Times New Roman" w:cs="Times New Roman"/>
          <w:sz w:val="24"/>
          <w:szCs w:val="24"/>
        </w:rPr>
        <w:t xml:space="preserve"> </w:t>
      </w:r>
    </w:p>
    <w:p w:rsidR="00A2190C" w:rsidRPr="0036551F" w:rsidRDefault="0036551F" w:rsidP="0036551F">
      <w:pPr>
        <w:spacing w:before="100" w:beforeAutospacing="1" w:after="100" w:afterAutospacing="1" w:line="240" w:lineRule="auto"/>
        <w:ind w:left="851" w:right="2277"/>
        <w:rPr>
          <w:rFonts w:ascii="Times New Roman" w:eastAsia="Times New Roman" w:hAnsi="Times New Roman" w:cs="Times New Roman"/>
          <w:bCs/>
          <w:sz w:val="20"/>
          <w:szCs w:val="20"/>
        </w:rPr>
      </w:pPr>
      <w:r w:rsidRPr="0036551F">
        <w:rPr>
          <w:rFonts w:ascii="Times New Roman" w:hAnsi="Times New Roman" w:cs="Times New Roman"/>
          <w:sz w:val="20"/>
          <w:szCs w:val="20"/>
        </w:rPr>
        <w:t>The organisational forms, cultures and practices which developed over the centuries to provide university education for society’s elite have been stretched and panel beaten as far as they will go for an era of mass participation in higher education.  The model is too expensive, capital-intensive and inflexible.  Students cannot afford to pay the proportion now expected of them, governments are wondering about value for money, industry support is marginal at best, philanthropy has higher priorities and academics increasingly say they are worn out by it</w:t>
      </w:r>
      <w:r>
        <w:rPr>
          <w:rFonts w:ascii="Times New Roman" w:hAnsi="Times New Roman" w:cs="Times New Roman"/>
          <w:sz w:val="20"/>
          <w:szCs w:val="20"/>
        </w:rPr>
        <w:t>.</w:t>
      </w:r>
    </w:p>
    <w:p w:rsidR="0036551F" w:rsidRDefault="004B778F" w:rsidP="0036551F">
      <w:pPr>
        <w:spacing w:before="100" w:beforeAutospacing="1" w:after="100" w:afterAutospacing="1" w:line="360" w:lineRule="auto"/>
        <w:ind w:right="437"/>
        <w:rPr>
          <w:rFonts w:ascii="Times New Roman" w:hAnsi="Times New Roman" w:cs="Times New Roman"/>
          <w:sz w:val="24"/>
          <w:szCs w:val="24"/>
        </w:rPr>
      </w:pPr>
      <w:r>
        <w:rPr>
          <w:rFonts w:ascii="Times New Roman" w:hAnsi="Times New Roman" w:cs="Times New Roman"/>
          <w:sz w:val="24"/>
          <w:szCs w:val="24"/>
        </w:rPr>
        <w:t>If he is right, w</w:t>
      </w:r>
      <w:r w:rsidR="0036551F">
        <w:rPr>
          <w:rFonts w:ascii="Times New Roman" w:hAnsi="Times New Roman" w:cs="Times New Roman"/>
          <w:sz w:val="24"/>
          <w:szCs w:val="24"/>
        </w:rPr>
        <w:t>hat will the sector look like in 2025?</w:t>
      </w:r>
    </w:p>
    <w:p w:rsidR="00FA16E3" w:rsidRDefault="00FA16E3" w:rsidP="00FA16E3">
      <w:pPr>
        <w:spacing w:line="360" w:lineRule="auto"/>
        <w:ind w:right="2277"/>
        <w:rPr>
          <w:rFonts w:ascii="Times New Roman" w:hAnsi="Times New Roman" w:cs="Times New Roman"/>
          <w:sz w:val="24"/>
          <w:szCs w:val="24"/>
        </w:rPr>
      </w:pPr>
    </w:p>
    <w:p w:rsidR="00076F92" w:rsidRDefault="00076F92" w:rsidP="00FA16E3">
      <w:pPr>
        <w:spacing w:line="360" w:lineRule="auto"/>
        <w:ind w:right="434"/>
        <w:rPr>
          <w:rFonts w:ascii="Times New Roman" w:hAnsi="Times New Roman" w:cs="Times New Roman"/>
          <w:sz w:val="24"/>
          <w:szCs w:val="24"/>
        </w:rPr>
      </w:pPr>
    </w:p>
    <w:p w:rsidR="00076F92" w:rsidRDefault="00076F92" w:rsidP="00FA16E3">
      <w:pPr>
        <w:spacing w:line="360" w:lineRule="auto"/>
        <w:ind w:right="434"/>
        <w:rPr>
          <w:rFonts w:ascii="Times New Roman" w:hAnsi="Times New Roman" w:cs="Times New Roman"/>
          <w:sz w:val="24"/>
          <w:szCs w:val="24"/>
        </w:rPr>
      </w:pPr>
    </w:p>
    <w:p w:rsidR="00076F92" w:rsidRPr="00EF0ADC" w:rsidRDefault="00076F92" w:rsidP="00076F92">
      <w:pPr>
        <w:spacing w:line="360" w:lineRule="auto"/>
        <w:rPr>
          <w:rFonts w:ascii="Times New Roman" w:hAnsi="Times New Roman" w:cs="Times New Roman"/>
          <w:sz w:val="24"/>
          <w:szCs w:val="24"/>
        </w:rPr>
        <w:sectPr w:rsidR="00076F92" w:rsidRPr="00EF0ADC" w:rsidSect="00076F92">
          <w:headerReference w:type="default" r:id="rId15"/>
          <w:pgSz w:w="12240" w:h="15840"/>
          <w:pgMar w:top="1728" w:right="1296" w:bottom="1296" w:left="1296" w:header="720" w:footer="720" w:gutter="0"/>
          <w:cols w:space="720"/>
          <w:noEndnote/>
        </w:sectPr>
      </w:pPr>
    </w:p>
    <w:p w:rsidR="00076F92" w:rsidRPr="00B6620A" w:rsidRDefault="00076F92" w:rsidP="00F4230F">
      <w:pPr>
        <w:spacing w:line="360" w:lineRule="auto"/>
        <w:ind w:left="240"/>
        <w:rPr>
          <w:rFonts w:ascii="Times New Roman" w:hAnsi="Times New Roman" w:cs="Times New Roman"/>
          <w:b/>
          <w:bCs/>
          <w:sz w:val="24"/>
          <w:szCs w:val="24"/>
        </w:rPr>
      </w:pPr>
    </w:p>
    <w:sectPr w:rsidR="00076F92" w:rsidRPr="00B6620A" w:rsidSect="00145709">
      <w:head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A06" w:rsidRDefault="00B12A06" w:rsidP="00E30DB7">
      <w:pPr>
        <w:spacing w:after="0" w:line="240" w:lineRule="auto"/>
      </w:pPr>
      <w:r>
        <w:separator/>
      </w:r>
    </w:p>
  </w:endnote>
  <w:endnote w:type="continuationSeparator" w:id="0">
    <w:p w:rsidR="00B12A06" w:rsidRDefault="00B12A06" w:rsidP="00E30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39" w:rsidRDefault="00EE78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58432"/>
      <w:docPartObj>
        <w:docPartGallery w:val="Page Numbers (Bottom of Page)"/>
        <w:docPartUnique/>
      </w:docPartObj>
    </w:sdtPr>
    <w:sdtEndPr>
      <w:rPr>
        <w:color w:val="7F7F7F" w:themeColor="background1" w:themeShade="7F"/>
        <w:spacing w:val="60"/>
      </w:rPr>
    </w:sdtEndPr>
    <w:sdtContent>
      <w:p w:rsidR="00EE7839" w:rsidRDefault="00E43877">
        <w:pPr>
          <w:pStyle w:val="Footer"/>
          <w:pBdr>
            <w:top w:val="single" w:sz="4" w:space="1" w:color="D9D9D9" w:themeColor="background1" w:themeShade="D9"/>
          </w:pBdr>
          <w:rPr>
            <w:b/>
          </w:rPr>
        </w:pPr>
        <w:r w:rsidRPr="00E43877">
          <w:fldChar w:fldCharType="begin"/>
        </w:r>
        <w:r w:rsidR="00EE7839">
          <w:instrText xml:space="preserve"> PAGE   \* MERGEFORMAT </w:instrText>
        </w:r>
        <w:r w:rsidRPr="00E43877">
          <w:fldChar w:fldCharType="separate"/>
        </w:r>
        <w:r w:rsidR="00BC01B0" w:rsidRPr="00BC01B0">
          <w:rPr>
            <w:b/>
            <w:noProof/>
          </w:rPr>
          <w:t>13</w:t>
        </w:r>
        <w:r>
          <w:rPr>
            <w:b/>
            <w:noProof/>
          </w:rPr>
          <w:fldChar w:fldCharType="end"/>
        </w:r>
        <w:r w:rsidR="00EE7839">
          <w:rPr>
            <w:b/>
          </w:rPr>
          <w:t xml:space="preserve"> | </w:t>
        </w:r>
        <w:r w:rsidR="00EE7839">
          <w:rPr>
            <w:color w:val="7F7F7F" w:themeColor="background1" w:themeShade="7F"/>
            <w:spacing w:val="60"/>
          </w:rPr>
          <w:t>Page</w:t>
        </w:r>
      </w:p>
    </w:sdtContent>
  </w:sdt>
  <w:p w:rsidR="00EE7839" w:rsidRDefault="00EE78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39" w:rsidRDefault="00EE78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A06" w:rsidRDefault="00B12A06" w:rsidP="00E30DB7">
      <w:pPr>
        <w:spacing w:after="0" w:line="240" w:lineRule="auto"/>
      </w:pPr>
      <w:r>
        <w:separator/>
      </w:r>
    </w:p>
  </w:footnote>
  <w:footnote w:type="continuationSeparator" w:id="0">
    <w:p w:rsidR="00B12A06" w:rsidRDefault="00B12A06" w:rsidP="00E30DB7">
      <w:pPr>
        <w:spacing w:after="0" w:line="240" w:lineRule="auto"/>
      </w:pPr>
      <w:r>
        <w:continuationSeparator/>
      </w:r>
    </w:p>
  </w:footnote>
  <w:footnote w:id="1">
    <w:p w:rsidR="00EE7839" w:rsidRPr="004C4043" w:rsidRDefault="00EE7839">
      <w:pPr>
        <w:pStyle w:val="FootnoteText"/>
        <w:rPr>
          <w:rFonts w:ascii="Times New Roman" w:hAnsi="Times New Roman" w:cs="Times New Roman"/>
        </w:rPr>
      </w:pPr>
      <w:r w:rsidRPr="004C4043">
        <w:rPr>
          <w:rStyle w:val="FootnoteReference"/>
        </w:rPr>
        <w:footnoteRef/>
      </w:r>
      <w:r w:rsidRPr="004C4043">
        <w:rPr>
          <w:rFonts w:ascii="Times New Roman" w:hAnsi="Times New Roman" w:cs="Times New Roman"/>
        </w:rPr>
        <w:t xml:space="preserve"> Faculty of Law, and Chair, University Academic Board, University of Technology, Sydney, Australia.</w:t>
      </w:r>
    </w:p>
  </w:footnote>
  <w:footnote w:id="2">
    <w:p w:rsidR="00EE7839" w:rsidRPr="00B223BC" w:rsidRDefault="00EE7839" w:rsidP="00B223BC">
      <w:pPr>
        <w:pStyle w:val="Heading1"/>
        <w:rPr>
          <w:rFonts w:ascii="Times New Roman" w:hAnsi="Times New Roman" w:cs="Times New Roman"/>
          <w:sz w:val="20"/>
          <w:szCs w:val="20"/>
        </w:rPr>
      </w:pPr>
      <w:r w:rsidRPr="00FA16E3">
        <w:rPr>
          <w:rStyle w:val="FootnoteReference"/>
          <w:sz w:val="20"/>
          <w:szCs w:val="20"/>
        </w:rPr>
        <w:footnoteRef/>
      </w:r>
      <w:r w:rsidRPr="00FA16E3">
        <w:rPr>
          <w:rFonts w:ascii="Times New Roman" w:hAnsi="Times New Roman" w:cs="Times New Roman"/>
          <w:sz w:val="20"/>
          <w:szCs w:val="20"/>
        </w:rPr>
        <w:t xml:space="preserve"> </w:t>
      </w:r>
      <w:r>
        <w:rPr>
          <w:rFonts w:ascii="Times New Roman" w:hAnsi="Times New Roman" w:cs="Times New Roman"/>
          <w:sz w:val="20"/>
          <w:szCs w:val="20"/>
        </w:rPr>
        <w:t>‘</w:t>
      </w:r>
      <w:r w:rsidRPr="00FA16E3">
        <w:rPr>
          <w:rFonts w:ascii="Times New Roman" w:hAnsi="Times New Roman" w:cs="Times New Roman"/>
          <w:i/>
          <w:sz w:val="20"/>
          <w:szCs w:val="20"/>
        </w:rPr>
        <w:t>Uni sector strangled by red tape</w:t>
      </w:r>
      <w:r>
        <w:rPr>
          <w:rFonts w:ascii="Times New Roman" w:hAnsi="Times New Roman" w:cs="Times New Roman"/>
          <w:i/>
          <w:sz w:val="20"/>
          <w:szCs w:val="20"/>
        </w:rPr>
        <w:t>’</w:t>
      </w:r>
      <w:r w:rsidRPr="00FA16E3">
        <w:rPr>
          <w:rFonts w:ascii="Times New Roman" w:hAnsi="Times New Roman" w:cs="Times New Roman"/>
          <w:i/>
          <w:sz w:val="20"/>
          <w:szCs w:val="20"/>
        </w:rPr>
        <w:t>,</w:t>
      </w:r>
      <w:r>
        <w:rPr>
          <w:rFonts w:ascii="Times New Roman" w:hAnsi="Times New Roman" w:cs="Times New Roman"/>
          <w:sz w:val="20"/>
          <w:szCs w:val="20"/>
        </w:rPr>
        <w:t xml:space="preserve"> </w:t>
      </w:r>
      <w:hyperlink r:id="rId1" w:history="1">
        <w:r w:rsidRPr="00FA16E3">
          <w:rPr>
            <w:rStyle w:val="Emphasis"/>
            <w:rFonts w:ascii="Times New Roman" w:hAnsi="Times New Roman" w:cs="Times New Roman"/>
            <w:b w:val="0"/>
            <w:bCs w:val="0"/>
            <w:color w:val="0000FF"/>
            <w:sz w:val="20"/>
            <w:szCs w:val="20"/>
            <w:u w:val="single"/>
          </w:rPr>
          <w:t xml:space="preserve">The Australian </w:t>
        </w:r>
      </w:hyperlink>
      <w:r>
        <w:rPr>
          <w:rStyle w:val="Emphasis"/>
          <w:rFonts w:ascii="Times New Roman" w:hAnsi="Times New Roman" w:cs="Times New Roman"/>
          <w:b w:val="0"/>
          <w:bCs w:val="0"/>
          <w:color w:val="0000FF"/>
          <w:sz w:val="20"/>
          <w:szCs w:val="20"/>
          <w:u w:val="single"/>
        </w:rPr>
        <w:t xml:space="preserve"> </w:t>
      </w:r>
      <w:r w:rsidRPr="00FA16E3">
        <w:rPr>
          <w:rFonts w:ascii="Times New Roman" w:hAnsi="Times New Roman" w:cs="Times New Roman"/>
          <w:sz w:val="20"/>
          <w:szCs w:val="20"/>
        </w:rPr>
        <w:t xml:space="preserve">&amp; </w:t>
      </w:r>
      <w:hyperlink r:id="rId2" w:history="1">
        <w:r>
          <w:rPr>
            <w:rStyle w:val="Strong"/>
            <w:rFonts w:ascii="Times New Roman" w:hAnsi="Times New Roman" w:cs="Times New Roman"/>
            <w:i/>
            <w:iCs/>
            <w:color w:val="0000FF"/>
            <w:sz w:val="20"/>
            <w:szCs w:val="20"/>
            <w:u w:val="single"/>
          </w:rPr>
          <w:t>ABC N</w:t>
        </w:r>
        <w:r w:rsidRPr="00FA16E3">
          <w:rPr>
            <w:rStyle w:val="Strong"/>
            <w:rFonts w:ascii="Times New Roman" w:hAnsi="Times New Roman" w:cs="Times New Roman"/>
            <w:i/>
            <w:iCs/>
            <w:color w:val="0000FF"/>
            <w:sz w:val="20"/>
            <w:szCs w:val="20"/>
            <w:u w:val="single"/>
          </w:rPr>
          <w:t>ews</w:t>
        </w:r>
        <w:r>
          <w:rPr>
            <w:rStyle w:val="Strong"/>
            <w:i/>
            <w:iCs/>
            <w:color w:val="0000FF"/>
            <w:sz w:val="20"/>
            <w:szCs w:val="20"/>
            <w:u w:val="single"/>
          </w:rPr>
          <w:t>,</w:t>
        </w:r>
        <w:r w:rsidRPr="00FA16E3">
          <w:rPr>
            <w:rStyle w:val="Strong"/>
            <w:rFonts w:ascii="Times New Roman" w:hAnsi="Times New Roman" w:cs="Times New Roman"/>
            <w:i/>
            <w:iCs/>
            <w:color w:val="0000FF"/>
            <w:sz w:val="20"/>
            <w:szCs w:val="20"/>
            <w:u w:val="single"/>
          </w:rPr>
          <w:t xml:space="preserve"> </w:t>
        </w:r>
      </w:hyperlink>
      <w:r>
        <w:rPr>
          <w:rStyle w:val="Strong"/>
          <w:rFonts w:ascii="Times New Roman" w:hAnsi="Times New Roman" w:cs="Times New Roman"/>
          <w:i/>
          <w:iCs/>
          <w:color w:val="0000FF"/>
          <w:sz w:val="20"/>
          <w:szCs w:val="20"/>
          <w:u w:val="single"/>
        </w:rPr>
        <w:t xml:space="preserve"> </w:t>
      </w:r>
      <w:r w:rsidRPr="00FA16E3">
        <w:rPr>
          <w:rFonts w:ascii="Times New Roman" w:hAnsi="Times New Roman" w:cs="Times New Roman"/>
          <w:sz w:val="20"/>
          <w:szCs w:val="20"/>
        </w:rPr>
        <w:t>26 July 2012</w:t>
      </w:r>
      <w:r>
        <w:rPr>
          <w:rFonts w:ascii="Times New Roman" w:hAnsi="Times New Roman" w:cs="Times New Roman"/>
          <w:sz w:val="20"/>
          <w:szCs w:val="20"/>
        </w:rPr>
        <w:t>.</w:t>
      </w:r>
    </w:p>
  </w:footnote>
  <w:footnote w:id="3">
    <w:p w:rsidR="00EE7839" w:rsidRPr="009F1A29" w:rsidRDefault="00EE7839">
      <w:pPr>
        <w:pStyle w:val="FootnoteText"/>
        <w:rPr>
          <w:rFonts w:ascii="Times New Roman" w:hAnsi="Times New Roman" w:cs="Times New Roman"/>
        </w:rPr>
      </w:pPr>
      <w:r w:rsidRPr="008B00EC">
        <w:rPr>
          <w:rStyle w:val="FootnoteReference"/>
        </w:rPr>
        <w:footnoteRef/>
      </w:r>
      <w:r>
        <w:rPr>
          <w:rFonts w:ascii="Times New Roman" w:hAnsi="Times New Roman" w:cs="Times New Roman"/>
        </w:rPr>
        <w:t xml:space="preserve"> </w:t>
      </w:r>
      <w:r>
        <w:rPr>
          <w:rFonts w:ascii="Times New Roman" w:hAnsi="Times New Roman" w:cs="Times New Roman"/>
          <w:i/>
        </w:rPr>
        <w:t xml:space="preserve">‘Unis to face high degree of change in mobile era’, Sydney Morning Herald, </w:t>
      </w:r>
      <w:r>
        <w:rPr>
          <w:rFonts w:ascii="Times New Roman" w:hAnsi="Times New Roman" w:cs="Times New Roman"/>
        </w:rPr>
        <w:t xml:space="preserve">13-14 October 2012; and </w:t>
      </w:r>
      <w:r w:rsidRPr="008B00EC">
        <w:rPr>
          <w:rFonts w:ascii="Times New Roman" w:hAnsi="Times New Roman" w:cs="Times New Roman"/>
        </w:rPr>
        <w:t>‘</w:t>
      </w:r>
      <w:r>
        <w:rPr>
          <w:rFonts w:ascii="Times New Roman" w:hAnsi="Times New Roman" w:cs="Times New Roman"/>
          <w:i/>
        </w:rPr>
        <w:t>Time to trad</w:t>
      </w:r>
      <w:r w:rsidRPr="008B00EC">
        <w:rPr>
          <w:rFonts w:ascii="Times New Roman" w:hAnsi="Times New Roman" w:cs="Times New Roman"/>
          <w:i/>
        </w:rPr>
        <w:t xml:space="preserve">e in well-worn university model’, </w:t>
      </w:r>
      <w:r w:rsidRPr="009F1A29">
        <w:rPr>
          <w:rFonts w:ascii="Times New Roman" w:hAnsi="Times New Roman" w:cs="Times New Roman"/>
        </w:rPr>
        <w:t>Professor Stephen Parker, Vice-Chancellor, Canberra University</w:t>
      </w:r>
      <w:r>
        <w:rPr>
          <w:rFonts w:ascii="Times New Roman" w:hAnsi="Times New Roman" w:cs="Times New Roman"/>
          <w:i/>
        </w:rPr>
        <w:t xml:space="preserve">, </w:t>
      </w:r>
      <w:r w:rsidRPr="008B00EC">
        <w:rPr>
          <w:rFonts w:ascii="Times New Roman" w:hAnsi="Times New Roman" w:cs="Times New Roman"/>
          <w:i/>
        </w:rPr>
        <w:t>Campus Review</w:t>
      </w:r>
      <w:r>
        <w:rPr>
          <w:rFonts w:ascii="Times New Roman" w:hAnsi="Times New Roman" w:cs="Times New Roman"/>
          <w:i/>
        </w:rPr>
        <w:t>,</w:t>
      </w:r>
      <w:r w:rsidRPr="008B00EC">
        <w:rPr>
          <w:rFonts w:ascii="Times New Roman" w:hAnsi="Times New Roman" w:cs="Times New Roman"/>
          <w:i/>
        </w:rPr>
        <w:t xml:space="preserve"> </w:t>
      </w:r>
      <w:r w:rsidRPr="009F1A29">
        <w:rPr>
          <w:rFonts w:ascii="Times New Roman" w:hAnsi="Times New Roman" w:cs="Times New Roman"/>
        </w:rPr>
        <w:t>2 October 2012.</w:t>
      </w:r>
    </w:p>
  </w:footnote>
  <w:footnote w:id="4">
    <w:p w:rsidR="00EE7839" w:rsidRDefault="00EE7839">
      <w:pPr>
        <w:pStyle w:val="FootnoteText"/>
      </w:pPr>
      <w:r w:rsidRPr="00AE1732">
        <w:rPr>
          <w:rStyle w:val="FootnoteReference"/>
        </w:rPr>
        <w:footnoteRef/>
      </w:r>
      <w:r w:rsidRPr="00AE1732">
        <w:rPr>
          <w:rFonts w:ascii="Times New Roman" w:hAnsi="Times New Roman" w:cs="Times New Roman"/>
        </w:rPr>
        <w:t xml:space="preserve"> Section 96</w:t>
      </w:r>
      <w:r>
        <w:rPr>
          <w:rFonts w:ascii="Times New Roman" w:hAnsi="Times New Roman" w:cs="Times New Roman"/>
        </w:rPr>
        <w:t>,</w:t>
      </w:r>
      <w:r w:rsidRPr="00AE1732">
        <w:rPr>
          <w:rFonts w:ascii="Times New Roman" w:hAnsi="Times New Roman" w:cs="Times New Roman"/>
        </w:rPr>
        <w:t xml:space="preserve"> Australian Constitution</w:t>
      </w:r>
      <w:r>
        <w:t>.</w:t>
      </w:r>
    </w:p>
  </w:footnote>
  <w:footnote w:id="5">
    <w:p w:rsidR="00EE7839" w:rsidRPr="004E0CDD" w:rsidRDefault="00EE7839">
      <w:pPr>
        <w:pStyle w:val="FootnoteText"/>
        <w:rPr>
          <w:rFonts w:ascii="Times New Roman" w:hAnsi="Times New Roman" w:cs="Times New Roman"/>
        </w:rPr>
      </w:pPr>
      <w:r w:rsidRPr="004E0CDD">
        <w:rPr>
          <w:rStyle w:val="FootnoteReference"/>
        </w:rPr>
        <w:footnoteRef/>
      </w:r>
      <w:r w:rsidRPr="004E0CDD">
        <w:rPr>
          <w:rFonts w:ascii="Times New Roman" w:hAnsi="Times New Roman" w:cs="Times New Roman"/>
        </w:rPr>
        <w:t xml:space="preserve"> </w:t>
      </w:r>
      <w:r>
        <w:rPr>
          <w:rFonts w:ascii="Times New Roman" w:hAnsi="Times New Roman" w:cs="Times New Roman"/>
        </w:rPr>
        <w:t xml:space="preserve">The funding of universities is pursuant to the (CTH) </w:t>
      </w:r>
      <w:r>
        <w:rPr>
          <w:rFonts w:ascii="Times New Roman" w:hAnsi="Times New Roman" w:cs="Times New Roman"/>
          <w:i/>
        </w:rPr>
        <w:t xml:space="preserve">Higher Education Support Act 2003. </w:t>
      </w:r>
      <w:r>
        <w:rPr>
          <w:rFonts w:ascii="Times New Roman" w:hAnsi="Times New Roman" w:cs="Times New Roman"/>
        </w:rPr>
        <w:t>Regulation was through the mechanism of the National Protocols for Higher Education Approval Processes (the National Protocols) and the Australian Universities Quality Agency (AUQA), which have both now been replaced by the Tertiary Education Standards Authority (TEQSA) and its Provider Standards.  In the</w:t>
      </w:r>
      <w:r w:rsidRPr="004E0CDD">
        <w:rPr>
          <w:rFonts w:ascii="Times New Roman" w:hAnsi="Times New Roman" w:cs="Times New Roman"/>
        </w:rPr>
        <w:t xml:space="preserve"> context </w:t>
      </w:r>
      <w:r>
        <w:rPr>
          <w:rFonts w:ascii="Times New Roman" w:hAnsi="Times New Roman" w:cs="Times New Roman"/>
        </w:rPr>
        <w:t xml:space="preserve">of  education and federal and state powers in the Australian Constitution  </w:t>
      </w:r>
      <w:r w:rsidRPr="004E0CDD">
        <w:rPr>
          <w:rFonts w:ascii="Times New Roman" w:hAnsi="Times New Roman" w:cs="Times New Roman"/>
        </w:rPr>
        <w:t xml:space="preserve">it is of interest to note the recent decision of the High Court of Australia in </w:t>
      </w:r>
      <w:r w:rsidRPr="004E0CDD">
        <w:rPr>
          <w:rFonts w:ascii="Times New Roman" w:hAnsi="Times New Roman" w:cs="Times New Roman"/>
          <w:i/>
        </w:rPr>
        <w:t xml:space="preserve">Williams v Commonwealth </w:t>
      </w:r>
      <w:r>
        <w:rPr>
          <w:rFonts w:ascii="Times New Roman" w:hAnsi="Times New Roman" w:cs="Times New Roman"/>
          <w:i/>
        </w:rPr>
        <w:t xml:space="preserve">of Australia </w:t>
      </w:r>
      <w:r>
        <w:rPr>
          <w:rFonts w:ascii="Times New Roman" w:hAnsi="Times New Roman" w:cs="Times New Roman"/>
        </w:rPr>
        <w:t xml:space="preserve"> [2012] HCA 23 (20 June 2012).  This case concerned</w:t>
      </w:r>
      <w:r w:rsidRPr="004E0CDD">
        <w:rPr>
          <w:rFonts w:ascii="Times New Roman" w:hAnsi="Times New Roman" w:cs="Times New Roman"/>
        </w:rPr>
        <w:t xml:space="preserve"> a contest to the Commonwealth Government’s implementation and funding of a chaplaincy program in state schools throughout Australia.</w:t>
      </w:r>
    </w:p>
  </w:footnote>
  <w:footnote w:id="6">
    <w:p w:rsidR="00EE7839" w:rsidRPr="002674C6" w:rsidRDefault="00EE7839" w:rsidP="00B6225C">
      <w:pPr>
        <w:pStyle w:val="FootnoteText"/>
        <w:rPr>
          <w:rFonts w:ascii="Times New Roman" w:hAnsi="Times New Roman" w:cs="Times New Roman"/>
        </w:rPr>
      </w:pPr>
      <w:r w:rsidRPr="002674C6">
        <w:rPr>
          <w:rStyle w:val="FootnoteReference"/>
        </w:rPr>
        <w:footnoteRef/>
      </w:r>
      <w:r w:rsidRPr="002674C6">
        <w:rPr>
          <w:rFonts w:ascii="Times New Roman" w:hAnsi="Times New Roman" w:cs="Times New Roman"/>
        </w:rPr>
        <w:t xml:space="preserve"> For example, the high Australian dollar and reported situations of violence against international students in some Australian cities.</w:t>
      </w:r>
    </w:p>
  </w:footnote>
  <w:footnote w:id="7">
    <w:p w:rsidR="00EE7839" w:rsidRPr="00B6225C" w:rsidRDefault="00EE7839" w:rsidP="00B6225C">
      <w:pPr>
        <w:pStyle w:val="FootnoteText"/>
        <w:ind w:left="720" w:hanging="720"/>
        <w:rPr>
          <w:rFonts w:ascii="Times New Roman" w:hAnsi="Times New Roman" w:cs="Times New Roman"/>
        </w:rPr>
      </w:pPr>
      <w:r w:rsidRPr="00B6225C">
        <w:rPr>
          <w:rStyle w:val="FootnoteReference"/>
        </w:rPr>
        <w:footnoteRef/>
      </w:r>
      <w:r w:rsidRPr="00B6225C">
        <w:rPr>
          <w:rFonts w:ascii="Times New Roman" w:hAnsi="Times New Roman" w:cs="Times New Roman"/>
        </w:rPr>
        <w:t xml:space="preserve"> </w:t>
      </w:r>
      <w:r w:rsidRPr="00B6225C">
        <w:rPr>
          <w:rFonts w:ascii="Times New Roman" w:hAnsi="Times New Roman" w:cs="Times New Roman"/>
          <w:i/>
        </w:rPr>
        <w:t xml:space="preserve">“Online courses winning prestige” The Australian, Higher Education Supplement, </w:t>
      </w:r>
      <w:r w:rsidRPr="00B6225C">
        <w:rPr>
          <w:rFonts w:ascii="Times New Roman" w:hAnsi="Times New Roman" w:cs="Times New Roman"/>
        </w:rPr>
        <w:t>4 July 2012.</w:t>
      </w:r>
    </w:p>
  </w:footnote>
  <w:footnote w:id="8">
    <w:p w:rsidR="00EE7839" w:rsidRPr="00D475B4" w:rsidRDefault="00EE7839" w:rsidP="006150C8">
      <w:pPr>
        <w:rPr>
          <w:rFonts w:ascii="Times New Roman" w:hAnsi="Times New Roman" w:cs="Times New Roman"/>
          <w:sz w:val="20"/>
          <w:szCs w:val="20"/>
        </w:rPr>
      </w:pPr>
      <w:r w:rsidRPr="002424DD">
        <w:rPr>
          <w:rStyle w:val="FootnoteReference"/>
          <w:sz w:val="20"/>
          <w:szCs w:val="20"/>
        </w:rPr>
        <w:footnoteRef/>
      </w:r>
      <w:r w:rsidRPr="002424DD">
        <w:rPr>
          <w:rFonts w:ascii="Times New Roman" w:hAnsi="Times New Roman" w:cs="Times New Roman"/>
          <w:sz w:val="20"/>
          <w:szCs w:val="20"/>
        </w:rPr>
        <w:t xml:space="preserve"> Pursuant to the Bradley Report and resultant government policy, and i</w:t>
      </w:r>
      <w:r w:rsidRPr="002424DD">
        <w:rPr>
          <w:rFonts w:ascii="Times New Roman" w:hAnsi="Times New Roman" w:cs="Times New Roman"/>
          <w:bCs/>
          <w:sz w:val="20"/>
          <w:szCs w:val="20"/>
        </w:rPr>
        <w:t>n</w:t>
      </w:r>
      <w:r w:rsidRPr="00004C4A">
        <w:rPr>
          <w:rFonts w:ascii="Times New Roman" w:hAnsi="Times New Roman" w:cs="Times New Roman"/>
          <w:bCs/>
          <w:sz w:val="20"/>
          <w:szCs w:val="20"/>
        </w:rPr>
        <w:t xml:space="preserve"> conjunction with TEQSA</w:t>
      </w:r>
      <w:r>
        <w:rPr>
          <w:rFonts w:ascii="Times New Roman" w:hAnsi="Times New Roman" w:cs="Times New Roman"/>
          <w:bCs/>
          <w:sz w:val="20"/>
          <w:szCs w:val="20"/>
        </w:rPr>
        <w:t xml:space="preserve"> (all discussed below)</w:t>
      </w:r>
      <w:r w:rsidRPr="00004C4A">
        <w:rPr>
          <w:rFonts w:ascii="Times New Roman" w:hAnsi="Times New Roman" w:cs="Times New Roman"/>
          <w:bCs/>
          <w:sz w:val="20"/>
          <w:szCs w:val="20"/>
        </w:rPr>
        <w:t>, the Commonwealth government has introduced a</w:t>
      </w:r>
      <w:r>
        <w:rPr>
          <w:rFonts w:ascii="Times New Roman" w:hAnsi="Times New Roman" w:cs="Times New Roman"/>
          <w:bCs/>
          <w:sz w:val="20"/>
          <w:szCs w:val="20"/>
        </w:rPr>
        <w:t>n</w:t>
      </w:r>
      <w:r w:rsidRPr="00004C4A">
        <w:rPr>
          <w:rFonts w:ascii="Times New Roman" w:hAnsi="Times New Roman" w:cs="Times New Roman"/>
          <w:bCs/>
          <w:sz w:val="20"/>
          <w:szCs w:val="20"/>
        </w:rPr>
        <w:t xml:space="preserve"> equivalent regul</w:t>
      </w:r>
      <w:r>
        <w:rPr>
          <w:rFonts w:ascii="Times New Roman" w:hAnsi="Times New Roman" w:cs="Times New Roman"/>
          <w:bCs/>
          <w:sz w:val="20"/>
          <w:szCs w:val="20"/>
        </w:rPr>
        <w:t xml:space="preserve">atory body for the VET sector, the Australian Skills </w:t>
      </w:r>
      <w:r w:rsidRPr="00004C4A">
        <w:rPr>
          <w:rFonts w:ascii="Times New Roman" w:hAnsi="Times New Roman" w:cs="Times New Roman"/>
          <w:bCs/>
          <w:sz w:val="20"/>
          <w:szCs w:val="20"/>
        </w:rPr>
        <w:t xml:space="preserve">Quality Authority (ASQA). This body, set up under the </w:t>
      </w:r>
      <w:r>
        <w:rPr>
          <w:rFonts w:ascii="Times New Roman" w:hAnsi="Times New Roman" w:cs="Times New Roman"/>
          <w:bCs/>
          <w:sz w:val="20"/>
          <w:szCs w:val="20"/>
        </w:rPr>
        <w:t xml:space="preserve">(CTH) </w:t>
      </w:r>
      <w:r w:rsidRPr="00004C4A">
        <w:rPr>
          <w:rFonts w:ascii="Times New Roman" w:hAnsi="Times New Roman" w:cs="Times New Roman"/>
          <w:bCs/>
          <w:i/>
          <w:sz w:val="20"/>
          <w:szCs w:val="20"/>
        </w:rPr>
        <w:t xml:space="preserve">National Vocational Education and Training Regulator Act 2011 </w:t>
      </w:r>
      <w:r w:rsidRPr="00004C4A">
        <w:rPr>
          <w:rFonts w:ascii="Times New Roman" w:hAnsi="Times New Roman" w:cs="Times New Roman"/>
          <w:bCs/>
          <w:sz w:val="20"/>
          <w:szCs w:val="20"/>
        </w:rPr>
        <w:t>is a national regulator responsible for registering training organisations and accrediting courses in the VET sector.</w:t>
      </w:r>
      <w:r>
        <w:rPr>
          <w:rFonts w:ascii="Times New Roman" w:hAnsi="Times New Roman" w:cs="Times New Roman"/>
          <w:sz w:val="20"/>
          <w:szCs w:val="20"/>
        </w:rPr>
        <w:t xml:space="preserve">  This sector will not be covered in substance here.</w:t>
      </w:r>
    </w:p>
  </w:footnote>
  <w:footnote w:id="9">
    <w:p w:rsidR="00EE7839" w:rsidRPr="00587B26" w:rsidRDefault="00EE7839">
      <w:pPr>
        <w:pStyle w:val="FootnoteText"/>
        <w:rPr>
          <w:rFonts w:ascii="Times New Roman" w:hAnsi="Times New Roman" w:cs="Times New Roman"/>
          <w:i/>
        </w:rPr>
      </w:pPr>
      <w:r w:rsidRPr="00587B26">
        <w:rPr>
          <w:rStyle w:val="FootnoteReference"/>
        </w:rPr>
        <w:footnoteRef/>
      </w:r>
      <w:r w:rsidRPr="00587B26">
        <w:rPr>
          <w:rFonts w:ascii="Times New Roman" w:hAnsi="Times New Roman" w:cs="Times New Roman"/>
        </w:rPr>
        <w:t xml:space="preserve"> </w:t>
      </w:r>
      <w:r>
        <w:rPr>
          <w:rFonts w:ascii="Times New Roman" w:hAnsi="Times New Roman" w:cs="Times New Roman"/>
        </w:rPr>
        <w:t xml:space="preserve">For example, </w:t>
      </w:r>
      <w:r w:rsidRPr="00587B26">
        <w:rPr>
          <w:rFonts w:ascii="Times New Roman" w:hAnsi="Times New Roman" w:cs="Times New Roman"/>
        </w:rPr>
        <w:t xml:space="preserve">(NSW) </w:t>
      </w:r>
      <w:r w:rsidRPr="00587B26">
        <w:rPr>
          <w:rFonts w:ascii="Times New Roman" w:hAnsi="Times New Roman" w:cs="Times New Roman"/>
          <w:i/>
        </w:rPr>
        <w:t>Higher Education Act 2001</w:t>
      </w:r>
      <w:r>
        <w:rPr>
          <w:rFonts w:ascii="Times New Roman" w:hAnsi="Times New Roman" w:cs="Times New Roman"/>
        </w:rPr>
        <w:t xml:space="preserve"> and  </w:t>
      </w:r>
      <w:r w:rsidRPr="00587B26">
        <w:rPr>
          <w:rFonts w:ascii="Times New Roman" w:hAnsi="Times New Roman" w:cs="Times New Roman"/>
        </w:rPr>
        <w:t>(Qld)</w:t>
      </w:r>
      <w:r>
        <w:rPr>
          <w:rFonts w:ascii="Times New Roman" w:hAnsi="Times New Roman" w:cs="Times New Roman"/>
        </w:rPr>
        <w:t xml:space="preserve"> </w:t>
      </w:r>
      <w:r w:rsidRPr="00587B26">
        <w:rPr>
          <w:rFonts w:ascii="Times New Roman" w:hAnsi="Times New Roman" w:cs="Times New Roman"/>
          <w:i/>
        </w:rPr>
        <w:t>Higher Education (General Provisions) Act 2008.</w:t>
      </w:r>
      <w:r>
        <w:rPr>
          <w:rFonts w:ascii="Times New Roman" w:hAnsi="Times New Roman" w:cs="Times New Roman"/>
          <w:i/>
        </w:rPr>
        <w:t xml:space="preserve"> </w:t>
      </w:r>
      <w:r>
        <w:rPr>
          <w:rFonts w:ascii="Times New Roman" w:hAnsi="Times New Roman" w:cs="Times New Roman"/>
        </w:rPr>
        <w:t xml:space="preserve">It should be noted that there is an exception </w:t>
      </w:r>
      <w:r w:rsidRPr="00587B26">
        <w:rPr>
          <w:rFonts w:ascii="Times New Roman" w:hAnsi="Times New Roman" w:cs="Times New Roman"/>
        </w:rPr>
        <w:t>for certain institutions in the Australian Capital Territory which are established by Commonwealth legislation.</w:t>
      </w:r>
    </w:p>
  </w:footnote>
  <w:footnote w:id="10">
    <w:p w:rsidR="00EE7839" w:rsidRPr="002732F9" w:rsidRDefault="00EE7839">
      <w:pPr>
        <w:pStyle w:val="FootnoteText"/>
        <w:rPr>
          <w:rFonts w:ascii="Times New Roman" w:hAnsi="Times New Roman" w:cs="Times New Roman"/>
        </w:rPr>
      </w:pPr>
      <w:r w:rsidRPr="002732F9">
        <w:rPr>
          <w:rStyle w:val="FootnoteReference"/>
        </w:rPr>
        <w:footnoteRef/>
      </w:r>
      <w:r w:rsidRPr="002732F9">
        <w:rPr>
          <w:rFonts w:ascii="Times New Roman" w:hAnsi="Times New Roman" w:cs="Times New Roman"/>
        </w:rPr>
        <w:t xml:space="preserve"> Now, in the new regime, forming the basis for the Provider Standards discussed below.</w:t>
      </w:r>
    </w:p>
  </w:footnote>
  <w:footnote w:id="11">
    <w:p w:rsidR="00EE7839" w:rsidRPr="003D56B9" w:rsidRDefault="00EE7839" w:rsidP="00587B26">
      <w:pPr>
        <w:pStyle w:val="FootnoteText"/>
        <w:rPr>
          <w:rFonts w:ascii="Times New Roman" w:hAnsi="Times New Roman" w:cs="Times New Roman"/>
        </w:rPr>
      </w:pPr>
      <w:r w:rsidRPr="003D56B9">
        <w:rPr>
          <w:rStyle w:val="FootnoteReference"/>
        </w:rPr>
        <w:footnoteRef/>
      </w:r>
      <w:r w:rsidRPr="003D56B9">
        <w:rPr>
          <w:rFonts w:ascii="Times New Roman" w:hAnsi="Times New Roman" w:cs="Times New Roman"/>
        </w:rPr>
        <w:t xml:space="preserve"> </w:t>
      </w:r>
      <w:r>
        <w:rPr>
          <w:rFonts w:ascii="Times New Roman" w:hAnsi="Times New Roman" w:cs="Times New Roman"/>
        </w:rPr>
        <w:t xml:space="preserve"> Now replaced by a new body known as the Standing Council on Tertiary Education, Skills and Employment (SCOTESE).</w:t>
      </w:r>
    </w:p>
  </w:footnote>
  <w:footnote w:id="12">
    <w:p w:rsidR="00EE7839" w:rsidRPr="009C6449" w:rsidRDefault="00EE7839">
      <w:pPr>
        <w:pStyle w:val="FootnoteText"/>
        <w:rPr>
          <w:rFonts w:ascii="Times New Roman" w:hAnsi="Times New Roman" w:cs="Times New Roman"/>
        </w:rPr>
      </w:pPr>
      <w:r w:rsidRPr="009C6449">
        <w:rPr>
          <w:rStyle w:val="FootnoteReference"/>
        </w:rPr>
        <w:footnoteRef/>
      </w:r>
      <w:r w:rsidRPr="009C6449">
        <w:rPr>
          <w:rFonts w:ascii="Times New Roman" w:hAnsi="Times New Roman" w:cs="Times New Roman"/>
        </w:rPr>
        <w:t xml:space="preserve"> </w:t>
      </w:r>
      <w:r>
        <w:rPr>
          <w:rFonts w:ascii="Times New Roman" w:hAnsi="Times New Roman" w:cs="Times New Roman"/>
        </w:rPr>
        <w:t xml:space="preserve"> Primarily through </w:t>
      </w:r>
      <w:r w:rsidRPr="009C6449">
        <w:rPr>
          <w:rFonts w:ascii="Times New Roman" w:hAnsi="Times New Roman" w:cs="Times New Roman"/>
        </w:rPr>
        <w:t xml:space="preserve">conditional funding </w:t>
      </w:r>
      <w:r>
        <w:rPr>
          <w:rFonts w:ascii="Times New Roman" w:hAnsi="Times New Roman" w:cs="Times New Roman"/>
        </w:rPr>
        <w:t xml:space="preserve">provision in </w:t>
      </w:r>
      <w:r w:rsidRPr="009C6449">
        <w:rPr>
          <w:rFonts w:ascii="Times New Roman" w:hAnsi="Times New Roman" w:cs="Times New Roman"/>
        </w:rPr>
        <w:t>s</w:t>
      </w:r>
      <w:r>
        <w:rPr>
          <w:rFonts w:ascii="Times New Roman" w:hAnsi="Times New Roman" w:cs="Times New Roman"/>
        </w:rPr>
        <w:t xml:space="preserve"> </w:t>
      </w:r>
      <w:r w:rsidRPr="009C6449">
        <w:rPr>
          <w:rFonts w:ascii="Times New Roman" w:hAnsi="Times New Roman" w:cs="Times New Roman"/>
        </w:rPr>
        <w:t>96</w:t>
      </w:r>
      <w:r>
        <w:rPr>
          <w:rFonts w:ascii="Times New Roman" w:hAnsi="Times New Roman" w:cs="Times New Roman"/>
        </w:rPr>
        <w:t xml:space="preserve"> of the </w:t>
      </w:r>
      <w:r w:rsidRPr="009C6449">
        <w:rPr>
          <w:rFonts w:ascii="Times New Roman" w:hAnsi="Times New Roman" w:cs="Times New Roman"/>
        </w:rPr>
        <w:t>Australian Constitution.</w:t>
      </w:r>
    </w:p>
  </w:footnote>
  <w:footnote w:id="13">
    <w:p w:rsidR="00EE7839" w:rsidRDefault="00EE7839">
      <w:pPr>
        <w:pStyle w:val="FootnoteText"/>
      </w:pPr>
      <w:r>
        <w:rPr>
          <w:rStyle w:val="FootnoteReference"/>
        </w:rPr>
        <w:footnoteRef/>
      </w:r>
      <w:r>
        <w:t xml:space="preserve"> </w:t>
      </w:r>
      <w:r w:rsidRPr="002732F9">
        <w:rPr>
          <w:rFonts w:ascii="Times New Roman" w:hAnsi="Times New Roman" w:cs="Times New Roman"/>
        </w:rPr>
        <w:t xml:space="preserve">(CTH) </w:t>
      </w:r>
      <w:r w:rsidRPr="002732F9">
        <w:rPr>
          <w:rFonts w:ascii="Times New Roman" w:hAnsi="Times New Roman" w:cs="Times New Roman"/>
          <w:i/>
        </w:rPr>
        <w:t>Higher Education Support Act 2003</w:t>
      </w:r>
      <w:r w:rsidRPr="002732F9">
        <w:rPr>
          <w:rFonts w:ascii="Times New Roman" w:hAnsi="Times New Roman" w:cs="Times New Roman"/>
        </w:rPr>
        <w:t>.</w:t>
      </w:r>
    </w:p>
  </w:footnote>
  <w:footnote w:id="14">
    <w:p w:rsidR="00EE7839" w:rsidRPr="00A15B15" w:rsidRDefault="00EE7839" w:rsidP="00E4393B">
      <w:pPr>
        <w:pStyle w:val="FootnoteText"/>
      </w:pPr>
      <w:r>
        <w:rPr>
          <w:rStyle w:val="FootnoteReference"/>
        </w:rPr>
        <w:footnoteRef/>
      </w:r>
      <w:r>
        <w:t xml:space="preserve"> </w:t>
      </w:r>
      <w:r w:rsidRPr="00A15B15">
        <w:rPr>
          <w:rFonts w:ascii="Times New Roman" w:hAnsi="Times New Roman" w:cs="Times New Roman"/>
        </w:rPr>
        <w:t xml:space="preserve">(CTH) </w:t>
      </w:r>
      <w:r w:rsidRPr="00A15B15">
        <w:rPr>
          <w:rFonts w:ascii="Times New Roman" w:hAnsi="Times New Roman" w:cs="Times New Roman"/>
          <w:i/>
        </w:rPr>
        <w:t>Hi</w:t>
      </w:r>
      <w:r>
        <w:rPr>
          <w:rFonts w:ascii="Times New Roman" w:hAnsi="Times New Roman" w:cs="Times New Roman"/>
          <w:i/>
        </w:rPr>
        <w:t xml:space="preserve">gher Education Support Act 2003, </w:t>
      </w:r>
      <w:r>
        <w:rPr>
          <w:rFonts w:ascii="Times New Roman" w:hAnsi="Times New Roman" w:cs="Times New Roman"/>
        </w:rPr>
        <w:t>s 137.</w:t>
      </w:r>
    </w:p>
  </w:footnote>
  <w:footnote w:id="15">
    <w:p w:rsidR="00EE7839" w:rsidRDefault="00EE7839" w:rsidP="00E4393B">
      <w:pPr>
        <w:pStyle w:val="FootnoteText"/>
      </w:pPr>
      <w:r>
        <w:rPr>
          <w:rStyle w:val="FootnoteReference"/>
        </w:rPr>
        <w:footnoteRef/>
      </w:r>
      <w:r>
        <w:t xml:space="preserve"> </w:t>
      </w:r>
      <w:r w:rsidRPr="00A15B15">
        <w:rPr>
          <w:rFonts w:ascii="Times New Roman" w:hAnsi="Times New Roman" w:cs="Times New Roman"/>
        </w:rPr>
        <w:t xml:space="preserve">(CTH) </w:t>
      </w:r>
      <w:r w:rsidRPr="00A15B15">
        <w:rPr>
          <w:rFonts w:ascii="Times New Roman" w:hAnsi="Times New Roman" w:cs="Times New Roman"/>
          <w:i/>
        </w:rPr>
        <w:t>Hi</w:t>
      </w:r>
      <w:r>
        <w:rPr>
          <w:rFonts w:ascii="Times New Roman" w:hAnsi="Times New Roman" w:cs="Times New Roman"/>
          <w:i/>
        </w:rPr>
        <w:t xml:space="preserve">gher Education Support Act 2003, s </w:t>
      </w:r>
      <w:r w:rsidRPr="00A15B15">
        <w:rPr>
          <w:rFonts w:ascii="Times New Roman" w:hAnsi="Times New Roman" w:cs="Times New Roman"/>
        </w:rPr>
        <w:t>154</w:t>
      </w:r>
      <w:r>
        <w:rPr>
          <w:rFonts w:ascii="Times New Roman" w:hAnsi="Times New Roman" w:cs="Times New Roman"/>
        </w:rPr>
        <w:t>.</w:t>
      </w:r>
    </w:p>
  </w:footnote>
  <w:footnote w:id="16">
    <w:p w:rsidR="00EE7839" w:rsidRPr="00D475B4" w:rsidRDefault="00EE7839" w:rsidP="003D56B9">
      <w:pPr>
        <w:pStyle w:val="FootnoteText"/>
        <w:rPr>
          <w:rFonts w:ascii="Times New Roman" w:hAnsi="Times New Roman" w:cs="Times New Roman"/>
        </w:rPr>
      </w:pPr>
      <w:r>
        <w:rPr>
          <w:rStyle w:val="FootnoteReference"/>
        </w:rPr>
        <w:footnoteRef/>
      </w:r>
      <w:r>
        <w:t xml:space="preserve"> </w:t>
      </w:r>
      <w:r w:rsidRPr="008D7BA6">
        <w:rPr>
          <w:rFonts w:ascii="Times New Roman" w:hAnsi="Times New Roman" w:cs="Times New Roman"/>
        </w:rPr>
        <w:t>(CTH)</w:t>
      </w:r>
      <w:r>
        <w:rPr>
          <w:rFonts w:ascii="Times New Roman" w:hAnsi="Times New Roman" w:cs="Times New Roman"/>
        </w:rPr>
        <w:t xml:space="preserve"> </w:t>
      </w:r>
      <w:r>
        <w:rPr>
          <w:rFonts w:ascii="Times New Roman" w:hAnsi="Times New Roman" w:cs="Times New Roman"/>
          <w:i/>
        </w:rPr>
        <w:t>Indigenous Education (Targeted Assistance) Act 2000</w:t>
      </w:r>
      <w:r>
        <w:rPr>
          <w:rFonts w:ascii="Times New Roman" w:hAnsi="Times New Roman" w:cs="Times New Roman"/>
        </w:rPr>
        <w:t>.  Discussion of indigenous education and the Widening Participation Strategy is to follow.</w:t>
      </w:r>
    </w:p>
  </w:footnote>
  <w:footnote w:id="17">
    <w:p w:rsidR="00EE7839" w:rsidRPr="00004C4A" w:rsidRDefault="00EE7839" w:rsidP="0064781A">
      <w:pPr>
        <w:pStyle w:val="FootnoteText"/>
        <w:rPr>
          <w:rFonts w:ascii="Times New Roman" w:hAnsi="Times New Roman" w:cs="Times New Roman"/>
        </w:rPr>
      </w:pPr>
      <w:r w:rsidRPr="00532A84">
        <w:rPr>
          <w:rStyle w:val="FootnoteReference"/>
        </w:rPr>
        <w:footnoteRef/>
      </w:r>
      <w:r w:rsidRPr="00532A84">
        <w:rPr>
          <w:rFonts w:ascii="Times New Roman" w:hAnsi="Times New Roman" w:cs="Times New Roman"/>
        </w:rPr>
        <w:t xml:space="preserve"> </w:t>
      </w:r>
      <w:r w:rsidRPr="00532A84">
        <w:rPr>
          <w:rFonts w:ascii="Times New Roman" w:hAnsi="Times New Roman" w:cs="Times New Roman"/>
          <w:i/>
        </w:rPr>
        <w:t xml:space="preserve">“Provision of Education to International Students: Code of Practice and Guidelines for Australian Universities” </w:t>
      </w:r>
      <w:r w:rsidRPr="00532A84">
        <w:rPr>
          <w:rFonts w:ascii="Times New Roman" w:hAnsi="Times New Roman" w:cs="Times New Roman"/>
        </w:rPr>
        <w:t xml:space="preserve">Australian Vice-Chancellors’ Committee, April 2005. </w:t>
      </w:r>
      <w:r>
        <w:rPr>
          <w:rFonts w:ascii="Times New Roman" w:hAnsi="Times New Roman" w:cs="Times New Roman"/>
        </w:rPr>
        <w:t>Discussed below within the context of International Students.</w:t>
      </w:r>
    </w:p>
  </w:footnote>
  <w:footnote w:id="18">
    <w:p w:rsidR="00EE7839" w:rsidRPr="00F2638C" w:rsidRDefault="00EE7839" w:rsidP="00AA5715">
      <w:pPr>
        <w:pStyle w:val="FootnoteText"/>
        <w:rPr>
          <w:rFonts w:ascii="Times New Roman" w:hAnsi="Times New Roman" w:cs="Times New Roman"/>
        </w:rPr>
      </w:pPr>
      <w:r w:rsidRPr="00F2638C">
        <w:rPr>
          <w:rStyle w:val="FootnoteReference"/>
        </w:rPr>
        <w:footnoteRef/>
      </w:r>
      <w:r w:rsidRPr="00F2638C">
        <w:rPr>
          <w:rFonts w:ascii="Times New Roman" w:hAnsi="Times New Roman" w:cs="Times New Roman"/>
        </w:rPr>
        <w:t xml:space="preserve"> Note particularly the concern of the Australian Government relating to the establishment of Greenwich University in 1998 (no relationship to </w:t>
      </w:r>
      <w:r>
        <w:rPr>
          <w:rFonts w:ascii="Times New Roman" w:hAnsi="Times New Roman" w:cs="Times New Roman"/>
        </w:rPr>
        <w:t>Greenwich University in the UK).  This university operated from Norfolk Island, an external territory of Australia and awarded degrees from 1998 -2002 even though the then AQF had denied accreditation finding that the standard and quality of its courses was below that required of an Australian university.  In 2002 the Australian government legislated to prevent its continued operation on Norfolk Island citing the risk it posed to the reputation of Australian higher education.</w:t>
      </w:r>
    </w:p>
  </w:footnote>
  <w:footnote w:id="19">
    <w:p w:rsidR="00EE7839" w:rsidRPr="00FA7DB5" w:rsidRDefault="00EE7839">
      <w:pPr>
        <w:pStyle w:val="FootnoteText"/>
        <w:rPr>
          <w:rFonts w:ascii="Times New Roman" w:hAnsi="Times New Roman" w:cs="Times New Roman"/>
        </w:rPr>
      </w:pPr>
      <w:r w:rsidRPr="00FA7DB5">
        <w:rPr>
          <w:rStyle w:val="FootnoteReference"/>
        </w:rPr>
        <w:footnoteRef/>
      </w:r>
      <w:r>
        <w:rPr>
          <w:rFonts w:ascii="Times New Roman" w:hAnsi="Times New Roman" w:cs="Times New Roman"/>
        </w:rPr>
        <w:t xml:space="preserve"> Figures </w:t>
      </w:r>
      <w:r w:rsidRPr="00FA7DB5">
        <w:rPr>
          <w:rFonts w:ascii="Times New Roman" w:hAnsi="Times New Roman" w:cs="Times New Roman"/>
        </w:rPr>
        <w:t xml:space="preserve">taken from </w:t>
      </w:r>
      <w:r>
        <w:rPr>
          <w:rFonts w:ascii="Times New Roman" w:hAnsi="Times New Roman" w:cs="Times New Roman"/>
        </w:rPr>
        <w:t xml:space="preserve">the </w:t>
      </w:r>
      <w:r w:rsidRPr="00FA7DB5">
        <w:rPr>
          <w:rFonts w:ascii="Times New Roman" w:hAnsi="Times New Roman" w:cs="Times New Roman"/>
          <w:i/>
        </w:rPr>
        <w:t xml:space="preserve">Explanatory Statement, Higher Education Standards Framework (Threshold Standards) 2011, </w:t>
      </w:r>
      <w:r w:rsidRPr="00FA7DB5">
        <w:rPr>
          <w:rFonts w:ascii="Times New Roman" w:hAnsi="Times New Roman" w:cs="Times New Roman"/>
        </w:rPr>
        <w:t>11-12.</w:t>
      </w:r>
      <w:r>
        <w:rPr>
          <w:rFonts w:ascii="Times New Roman" w:hAnsi="Times New Roman" w:cs="Times New Roman"/>
        </w:rPr>
        <w:t xml:space="preserve">  Accessed at </w:t>
      </w:r>
      <w:hyperlink r:id="rId3" w:history="1">
        <w:r w:rsidRPr="00B13347">
          <w:rPr>
            <w:rStyle w:val="Hyperlink"/>
          </w:rPr>
          <w:t>www.teqsa.gov.au</w:t>
        </w:r>
      </w:hyperlink>
      <w:r>
        <w:rPr>
          <w:rFonts w:ascii="Times New Roman" w:hAnsi="Times New Roman" w:cs="Times New Roman"/>
        </w:rPr>
        <w:t>.    In October 2012, TEQSA is responsible for regulating 172 higher education providers, 43 self-accrediting universities and 129 non-self-accrediting private providers, both for-profit and not (address given by TEQSA Commissioner Ian Hawke to the National Conference on University Governance, University of Sydney, 10 October 2012).</w:t>
      </w:r>
    </w:p>
  </w:footnote>
  <w:footnote w:id="20">
    <w:p w:rsidR="00EE7839" w:rsidRPr="004A31FB" w:rsidRDefault="00EE7839" w:rsidP="00DF622C">
      <w:pPr>
        <w:pStyle w:val="FootnoteText"/>
        <w:rPr>
          <w:rFonts w:ascii="Times New Roman" w:hAnsi="Times New Roman" w:cs="Times New Roman"/>
        </w:rPr>
      </w:pPr>
      <w:r w:rsidRPr="004A31FB">
        <w:rPr>
          <w:rStyle w:val="FootnoteReference"/>
        </w:rPr>
        <w:footnoteRef/>
      </w:r>
      <w:r w:rsidRPr="004A31FB">
        <w:rPr>
          <w:rFonts w:ascii="Times New Roman" w:hAnsi="Times New Roman" w:cs="Times New Roman"/>
        </w:rPr>
        <w:t xml:space="preserve"> Higher Education: Risky Business? Academic Board Q &amp; A Forum, University of Technology, Sydney, 26 July 2012.</w:t>
      </w:r>
    </w:p>
  </w:footnote>
  <w:footnote w:id="21">
    <w:p w:rsidR="00EE7839" w:rsidRPr="009D520F" w:rsidRDefault="00EE7839">
      <w:pPr>
        <w:pStyle w:val="FootnoteText"/>
        <w:rPr>
          <w:rFonts w:ascii="Times New Roman" w:hAnsi="Times New Roman" w:cs="Times New Roman"/>
        </w:rPr>
      </w:pPr>
      <w:r w:rsidRPr="009D520F">
        <w:rPr>
          <w:rStyle w:val="FootnoteReference"/>
        </w:rPr>
        <w:footnoteRef/>
      </w:r>
      <w:r w:rsidRPr="009D520F">
        <w:rPr>
          <w:rFonts w:ascii="Times New Roman" w:hAnsi="Times New Roman" w:cs="Times New Roman"/>
        </w:rPr>
        <w:t xml:space="preserve"> The Higher Education Base Funding Review</w:t>
      </w:r>
      <w:r>
        <w:rPr>
          <w:rFonts w:ascii="Times New Roman" w:hAnsi="Times New Roman" w:cs="Times New Roman"/>
        </w:rPr>
        <w:t xml:space="preserve"> led</w:t>
      </w:r>
      <w:r w:rsidRPr="009D520F">
        <w:rPr>
          <w:rFonts w:ascii="Times New Roman" w:hAnsi="Times New Roman" w:cs="Times New Roman"/>
        </w:rPr>
        <w:t xml:space="preserve"> by Professor Jane Lomax-Smith, released its Final Report on 19 December 2011.  It defines the principles to underpin the long term funding of higher education in Australia and makes recommendations for a reformed funding model. A formal government response is awaited.</w:t>
      </w:r>
    </w:p>
  </w:footnote>
  <w:footnote w:id="22">
    <w:p w:rsidR="00EE7839" w:rsidRPr="001F30BC" w:rsidRDefault="00EE7839" w:rsidP="00A00A26">
      <w:pPr>
        <w:autoSpaceDE w:val="0"/>
        <w:autoSpaceDN w:val="0"/>
        <w:adjustRightInd w:val="0"/>
        <w:spacing w:after="0" w:line="240" w:lineRule="auto"/>
        <w:rPr>
          <w:rFonts w:ascii="Times New Roman" w:hAnsi="Times New Roman" w:cs="Times New Roman"/>
          <w:sz w:val="20"/>
          <w:szCs w:val="20"/>
        </w:rPr>
      </w:pPr>
      <w:r w:rsidRPr="00B47EC6">
        <w:rPr>
          <w:rStyle w:val="FootnoteReference"/>
        </w:rPr>
        <w:footnoteRef/>
      </w:r>
      <w:r w:rsidRPr="00B47EC6">
        <w:rPr>
          <w:rFonts w:ascii="Times New Roman" w:hAnsi="Times New Roman" w:cs="Times New Roman"/>
        </w:rPr>
        <w:t xml:space="preserve"> </w:t>
      </w:r>
      <w:r w:rsidRPr="001F30BC">
        <w:rPr>
          <w:rFonts w:ascii="Times New Roman" w:hAnsi="Times New Roman" w:cs="Times New Roman"/>
          <w:sz w:val="20"/>
          <w:szCs w:val="20"/>
        </w:rPr>
        <w:t>Led by Emeritus Professor Denise Bradley AO the former Vice</w:t>
      </w:r>
      <w:r w:rsidRPr="001F30BC">
        <w:rPr>
          <w:rFonts w:ascii="Calibri" w:hAnsi="Calibri" w:cs="Times New Roman"/>
          <w:sz w:val="20"/>
          <w:szCs w:val="20"/>
        </w:rPr>
        <w:t>‐</w:t>
      </w:r>
      <w:r w:rsidRPr="001F30BC">
        <w:rPr>
          <w:rFonts w:ascii="Times New Roman" w:hAnsi="Times New Roman" w:cs="Times New Roman"/>
          <w:sz w:val="20"/>
          <w:szCs w:val="20"/>
        </w:rPr>
        <w:t>Chancellor and President of the</w:t>
      </w:r>
    </w:p>
    <w:p w:rsidR="00EE7839" w:rsidRPr="00B47EC6" w:rsidRDefault="00EE7839" w:rsidP="00A00A26">
      <w:pPr>
        <w:pStyle w:val="FootnoteText"/>
        <w:rPr>
          <w:rFonts w:ascii="Times New Roman" w:hAnsi="Times New Roman" w:cs="Times New Roman"/>
        </w:rPr>
      </w:pPr>
      <w:r w:rsidRPr="001F30BC">
        <w:rPr>
          <w:rFonts w:ascii="Times New Roman" w:hAnsi="Times New Roman" w:cs="Times New Roman"/>
        </w:rPr>
        <w:t>Univer</w:t>
      </w:r>
      <w:r>
        <w:rPr>
          <w:rFonts w:ascii="Times New Roman" w:hAnsi="Times New Roman" w:cs="Times New Roman"/>
        </w:rPr>
        <w:t>sity of South Australia (</w:t>
      </w:r>
      <w:proofErr w:type="spellStart"/>
      <w:r>
        <w:rPr>
          <w:rFonts w:ascii="Times New Roman" w:hAnsi="Times New Roman" w:cs="Times New Roman"/>
        </w:rPr>
        <w:t>UniSA</w:t>
      </w:r>
      <w:proofErr w:type="spellEnd"/>
      <w:r>
        <w:rPr>
          <w:rFonts w:ascii="Times New Roman" w:hAnsi="Times New Roman" w:cs="Times New Roman"/>
        </w:rPr>
        <w:t>).</w:t>
      </w:r>
    </w:p>
  </w:footnote>
  <w:footnote w:id="23">
    <w:p w:rsidR="00EE7839" w:rsidRPr="009334D5" w:rsidRDefault="00EE7839">
      <w:pPr>
        <w:pStyle w:val="FootnoteText"/>
        <w:rPr>
          <w:rFonts w:ascii="Times New Roman" w:hAnsi="Times New Roman" w:cs="Times New Roman"/>
          <w:i/>
        </w:rPr>
      </w:pPr>
      <w:r w:rsidRPr="009334D5">
        <w:rPr>
          <w:rStyle w:val="FootnoteReference"/>
        </w:rPr>
        <w:footnoteRef/>
      </w:r>
      <w:r w:rsidRPr="009334D5">
        <w:rPr>
          <w:rFonts w:ascii="Times New Roman" w:hAnsi="Times New Roman" w:cs="Times New Roman"/>
        </w:rPr>
        <w:t xml:space="preserve"> Australian Education International (2010) </w:t>
      </w:r>
      <w:r w:rsidRPr="009334D5">
        <w:rPr>
          <w:rFonts w:ascii="Times New Roman" w:hAnsi="Times New Roman" w:cs="Times New Roman"/>
          <w:i/>
        </w:rPr>
        <w:t>Stronger, simpler, smarter ESOS: Supporting International Students: Review of the Education Services for Overseas Students (ESOS) Act 2000</w:t>
      </w:r>
      <w:r w:rsidRPr="009334D5">
        <w:rPr>
          <w:rFonts w:ascii="Times New Roman" w:hAnsi="Times New Roman" w:cs="Times New Roman"/>
        </w:rPr>
        <w:t xml:space="preserve">, 5. Accessed </w:t>
      </w:r>
      <w:r>
        <w:rPr>
          <w:rFonts w:ascii="Times New Roman" w:hAnsi="Times New Roman" w:cs="Times New Roman"/>
        </w:rPr>
        <w:t xml:space="preserve">at </w:t>
      </w:r>
      <w:hyperlink r:id="rId4" w:history="1">
        <w:r w:rsidRPr="009334D5">
          <w:rPr>
            <w:rStyle w:val="Hyperlink"/>
          </w:rPr>
          <w:t>http://www.aei.gov.au</w:t>
        </w:r>
      </w:hyperlink>
      <w:r>
        <w:rPr>
          <w:rFonts w:ascii="Times New Roman" w:hAnsi="Times New Roman" w:cs="Times New Roman"/>
        </w:rPr>
        <w:t>.</w:t>
      </w:r>
    </w:p>
  </w:footnote>
  <w:footnote w:id="24">
    <w:p w:rsidR="00EE7839" w:rsidRPr="00A34A3A" w:rsidRDefault="00EE7839">
      <w:pPr>
        <w:pStyle w:val="FootnoteText"/>
        <w:rPr>
          <w:rFonts w:ascii="Times New Roman" w:hAnsi="Times New Roman" w:cs="Times New Roman"/>
          <w:i/>
        </w:rPr>
      </w:pPr>
      <w:r w:rsidRPr="00A34A3A">
        <w:rPr>
          <w:rStyle w:val="FootnoteReference"/>
        </w:rPr>
        <w:footnoteRef/>
      </w:r>
      <w:r w:rsidRPr="00A34A3A">
        <w:rPr>
          <w:rFonts w:ascii="Times New Roman" w:hAnsi="Times New Roman" w:cs="Times New Roman"/>
        </w:rPr>
        <w:t xml:space="preserve"> </w:t>
      </w:r>
      <w:r w:rsidRPr="00A34A3A">
        <w:rPr>
          <w:rFonts w:ascii="Times New Roman" w:hAnsi="Times New Roman" w:cs="Times New Roman"/>
          <w:i/>
        </w:rPr>
        <w:t xml:space="preserve">‘Transforming </w:t>
      </w:r>
      <w:proofErr w:type="spellStart"/>
      <w:r w:rsidRPr="00A34A3A">
        <w:rPr>
          <w:rFonts w:ascii="Times New Roman" w:hAnsi="Times New Roman" w:cs="Times New Roman"/>
          <w:i/>
        </w:rPr>
        <w:t>Asutralia’s</w:t>
      </w:r>
      <w:proofErr w:type="spellEnd"/>
      <w:r w:rsidRPr="00A34A3A">
        <w:rPr>
          <w:rFonts w:ascii="Times New Roman" w:hAnsi="Times New Roman" w:cs="Times New Roman"/>
          <w:i/>
        </w:rPr>
        <w:t xml:space="preserve"> Higher Education System’, Commonwealth of Australia, 2009.</w:t>
      </w:r>
    </w:p>
  </w:footnote>
  <w:footnote w:id="25">
    <w:p w:rsidR="00EE7839" w:rsidRPr="006C67CE" w:rsidRDefault="00EE7839" w:rsidP="00416CFA">
      <w:pPr>
        <w:pStyle w:val="FootnoteText"/>
        <w:rPr>
          <w:rFonts w:ascii="Times New Roman" w:hAnsi="Times New Roman" w:cs="Times New Roman"/>
        </w:rPr>
      </w:pPr>
      <w:r>
        <w:rPr>
          <w:rStyle w:val="FootnoteReference"/>
        </w:rPr>
        <w:footnoteRef/>
      </w:r>
      <w:r>
        <w:t xml:space="preserve"> </w:t>
      </w:r>
      <w:r w:rsidRPr="006C67CE">
        <w:rPr>
          <w:rFonts w:ascii="Times New Roman" w:hAnsi="Times New Roman" w:cs="Times New Roman"/>
        </w:rPr>
        <w:t>Speeches of the Prime Minister</w:t>
      </w:r>
      <w:r>
        <w:rPr>
          <w:rFonts w:ascii="Times New Roman" w:hAnsi="Times New Roman" w:cs="Times New Roman"/>
        </w:rPr>
        <w:t xml:space="preserve">, Julia Gillard, 4, </w:t>
      </w:r>
      <w:r w:rsidRPr="006C67CE">
        <w:rPr>
          <w:rFonts w:ascii="Times New Roman" w:hAnsi="Times New Roman" w:cs="Times New Roman"/>
        </w:rPr>
        <w:t xml:space="preserve">5 </w:t>
      </w:r>
      <w:r>
        <w:rPr>
          <w:rFonts w:ascii="Times New Roman" w:hAnsi="Times New Roman" w:cs="Times New Roman"/>
        </w:rPr>
        <w:t xml:space="preserve">&amp; 9 March 2011, accessed at </w:t>
      </w:r>
      <w:hyperlink r:id="rId5" w:history="1">
        <w:r w:rsidRPr="00096BBA">
          <w:rPr>
            <w:rStyle w:val="Hyperlink"/>
          </w:rPr>
          <w:t>http://www.deewr.gov.au/HigherEducation/Review/Pages/FuturedirectionsforTertiaryEducation</w:t>
        </w:r>
      </w:hyperlink>
      <w:r w:rsidRPr="006C67CE">
        <w:rPr>
          <w:rFonts w:ascii="Times New Roman" w:hAnsi="Times New Roman" w:cs="Times New Roman"/>
        </w:rPr>
        <w:t>.</w:t>
      </w:r>
      <w:r>
        <w:rPr>
          <w:rFonts w:ascii="Times New Roman" w:hAnsi="Times New Roman" w:cs="Times New Roman"/>
        </w:rPr>
        <w:t xml:space="preserve"> </w:t>
      </w:r>
    </w:p>
  </w:footnote>
  <w:footnote w:id="26">
    <w:p w:rsidR="00EE7839" w:rsidRPr="00617B73" w:rsidRDefault="00EE7839" w:rsidP="005019E7">
      <w:pPr>
        <w:pStyle w:val="FootnoteText"/>
        <w:rPr>
          <w:rFonts w:ascii="Times New Roman" w:hAnsi="Times New Roman" w:cs="Times New Roman"/>
        </w:rPr>
      </w:pPr>
      <w:r w:rsidRPr="00617B73">
        <w:rPr>
          <w:rStyle w:val="FootnoteReference"/>
        </w:rPr>
        <w:footnoteRef/>
      </w:r>
      <w:r w:rsidRPr="00617B73">
        <w:rPr>
          <w:rFonts w:ascii="Times New Roman" w:hAnsi="Times New Roman" w:cs="Times New Roman"/>
        </w:rPr>
        <w:t xml:space="preserve"> Council of Australian Governments.</w:t>
      </w:r>
    </w:p>
  </w:footnote>
  <w:footnote w:id="27">
    <w:p w:rsidR="00EE7839" w:rsidRPr="00C56DD0" w:rsidRDefault="00EE7839">
      <w:pPr>
        <w:pStyle w:val="FootnoteText"/>
      </w:pPr>
      <w:r w:rsidRPr="00C56DD0">
        <w:rPr>
          <w:rStyle w:val="FootnoteReference"/>
        </w:rPr>
        <w:footnoteRef/>
      </w:r>
      <w:r w:rsidRPr="00C56DD0">
        <w:t xml:space="preserve"> </w:t>
      </w:r>
      <w:r w:rsidRPr="00C56DD0">
        <w:rPr>
          <w:rFonts w:ascii="Times New Roman" w:hAnsi="Times New Roman" w:cs="Times New Roman"/>
        </w:rPr>
        <w:t xml:space="preserve">Its purpose is stated as: ‘to ensure Australia’s workforce and productivity needs are met through increased participation, educational attainment and skills development’.  Primarily it aims to ensure high quality tertiary education and training through the strengthening of regulatory arrangements in the tertiary education and training sectors.  </w:t>
      </w:r>
    </w:p>
  </w:footnote>
  <w:footnote w:id="28">
    <w:p w:rsidR="00EE7839" w:rsidRPr="00613D7C" w:rsidRDefault="00EE7839">
      <w:pPr>
        <w:pStyle w:val="FootnoteText"/>
        <w:rPr>
          <w:rFonts w:ascii="Times New Roman" w:hAnsi="Times New Roman" w:cs="Times New Roman"/>
        </w:rPr>
      </w:pPr>
      <w:r w:rsidRPr="00617B73">
        <w:rPr>
          <w:rStyle w:val="FootnoteReference"/>
        </w:rPr>
        <w:footnoteRef/>
      </w:r>
      <w:r w:rsidRPr="00617B73">
        <w:rPr>
          <w:rFonts w:ascii="Times New Roman" w:hAnsi="Times New Roman" w:cs="Times New Roman"/>
        </w:rPr>
        <w:t xml:space="preserve">  Standing Council on Tertiary Education, Skills and Employment (SCOTESE),</w:t>
      </w:r>
      <w:r>
        <w:rPr>
          <w:rFonts w:ascii="Times New Roman" w:hAnsi="Times New Roman" w:cs="Times New Roman"/>
        </w:rPr>
        <w:t xml:space="preserve"> referred to above.  </w:t>
      </w:r>
      <w:r w:rsidRPr="005F6C1C">
        <w:rPr>
          <w:rFonts w:ascii="Times New Roman" w:hAnsi="Times New Roman" w:cs="Times New Roman"/>
        </w:rPr>
        <w:t>Also included for the VET sector was a policy aimed at expanding the ambit of Skills Australia and renewal of the TAFE in</w:t>
      </w:r>
      <w:r>
        <w:rPr>
          <w:rFonts w:ascii="Times New Roman" w:hAnsi="Times New Roman" w:cs="Times New Roman"/>
        </w:rPr>
        <w:t>f</w:t>
      </w:r>
      <w:r w:rsidRPr="005F6C1C">
        <w:rPr>
          <w:rFonts w:ascii="Times New Roman" w:hAnsi="Times New Roman" w:cs="Times New Roman"/>
        </w:rPr>
        <w:t>rastructure.</w:t>
      </w:r>
    </w:p>
  </w:footnote>
  <w:footnote w:id="29">
    <w:p w:rsidR="00EE7839" w:rsidRDefault="00EE7839">
      <w:pPr>
        <w:pStyle w:val="FootnoteText"/>
      </w:pPr>
      <w:r w:rsidRPr="00613D7C">
        <w:rPr>
          <w:rStyle w:val="FootnoteReference"/>
        </w:rPr>
        <w:footnoteRef/>
      </w:r>
      <w:r>
        <w:rPr>
          <w:rFonts w:ascii="Times New Roman" w:hAnsi="Times New Roman" w:cs="Times New Roman"/>
        </w:rPr>
        <w:t xml:space="preserve">(CTH) </w:t>
      </w:r>
      <w:r>
        <w:rPr>
          <w:rFonts w:ascii="Times New Roman" w:hAnsi="Times New Roman" w:cs="Times New Roman"/>
          <w:i/>
        </w:rPr>
        <w:t xml:space="preserve">Higher Education Support Act 2003 </w:t>
      </w:r>
      <w:r>
        <w:rPr>
          <w:rFonts w:ascii="Times New Roman" w:hAnsi="Times New Roman" w:cs="Times New Roman"/>
        </w:rPr>
        <w:t xml:space="preserve">s 19.110. </w:t>
      </w:r>
      <w:r w:rsidRPr="00613D7C">
        <w:rPr>
          <w:rFonts w:ascii="Times New Roman" w:hAnsi="Times New Roman" w:cs="Times New Roman"/>
        </w:rPr>
        <w:t xml:space="preserve">In formulating the compacts, the government entered into a period of discussions with each university from 2011 and forty-one compacts for the period 2011-2013 have now been completed: </w:t>
      </w:r>
      <w:r w:rsidRPr="00613D7C">
        <w:rPr>
          <w:rFonts w:ascii="Times New Roman" w:hAnsi="Times New Roman" w:cs="Times New Roman"/>
          <w:i/>
        </w:rPr>
        <w:t xml:space="preserve">Summary Report on Mission-based Compacts 2011-2013, </w:t>
      </w:r>
      <w:r w:rsidRPr="00613D7C">
        <w:rPr>
          <w:rFonts w:ascii="Times New Roman" w:hAnsi="Times New Roman" w:cs="Times New Roman"/>
        </w:rPr>
        <w:t>Australian Government, Department of Industry, Innovation, Science, Research and Tertiary Education (DSIIRTE).</w:t>
      </w:r>
      <w:r>
        <w:t xml:space="preserve"> </w:t>
      </w:r>
    </w:p>
  </w:footnote>
  <w:footnote w:id="30">
    <w:p w:rsidR="00EE7839" w:rsidRPr="008C0731" w:rsidRDefault="00EE7839">
      <w:pPr>
        <w:pStyle w:val="FootnoteText"/>
        <w:rPr>
          <w:rFonts w:ascii="Times New Roman" w:hAnsi="Times New Roman" w:cs="Times New Roman"/>
        </w:rPr>
      </w:pPr>
      <w:r>
        <w:rPr>
          <w:rStyle w:val="FootnoteReference"/>
        </w:rPr>
        <w:footnoteRef/>
      </w:r>
      <w:r>
        <w:t xml:space="preserve"> </w:t>
      </w:r>
      <w:r w:rsidRPr="007D056D">
        <w:rPr>
          <w:rFonts w:ascii="Times New Roman" w:hAnsi="Times New Roman" w:cs="Times New Roman"/>
        </w:rPr>
        <w:t xml:space="preserve">(CTH) </w:t>
      </w:r>
      <w:r w:rsidRPr="007D056D">
        <w:rPr>
          <w:rFonts w:ascii="Times New Roman" w:hAnsi="Times New Roman" w:cs="Times New Roman"/>
          <w:i/>
        </w:rPr>
        <w:t xml:space="preserve">Higher Education Support Act 2003 </w:t>
      </w:r>
      <w:r w:rsidRPr="007D056D">
        <w:rPr>
          <w:rFonts w:ascii="Times New Roman" w:hAnsi="Times New Roman" w:cs="Times New Roman"/>
        </w:rPr>
        <w:t>s 19.115</w:t>
      </w:r>
      <w:r w:rsidRPr="007D056D">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Important to note Section 4 of the newly formulated Provider Standards (discussed below) that require that: ‘</w:t>
      </w:r>
      <w:r w:rsidRPr="008C0731">
        <w:rPr>
          <w:rFonts w:ascii="Times New Roman" w:hAnsi="Times New Roman" w:cs="Times New Roman"/>
          <w:color w:val="000000"/>
        </w:rPr>
        <w:t>The higher education provider promotes and protects free intellectual inquiry and expression in its higher education learning, teaching, and research activities</w:t>
      </w:r>
      <w:r>
        <w:rPr>
          <w:rFonts w:ascii="Times New Roman" w:hAnsi="Times New Roman" w:cs="Times New Roman"/>
          <w:color w:val="000000"/>
        </w:rPr>
        <w:t>’</w:t>
      </w:r>
      <w:r w:rsidRPr="008C0731">
        <w:rPr>
          <w:rFonts w:ascii="Times New Roman" w:hAnsi="Times New Roman" w:cs="Times New Roman"/>
          <w:color w:val="000000"/>
        </w:rPr>
        <w:t>.</w:t>
      </w:r>
    </w:p>
  </w:footnote>
  <w:footnote w:id="31">
    <w:p w:rsidR="00EE7839" w:rsidRDefault="00EE7839">
      <w:pPr>
        <w:pStyle w:val="FootnoteText"/>
      </w:pPr>
      <w:r>
        <w:rPr>
          <w:rStyle w:val="FootnoteReference"/>
        </w:rPr>
        <w:footnoteRef/>
      </w:r>
      <w:r>
        <w:t xml:space="preserve"> </w:t>
      </w:r>
      <w:r w:rsidRPr="00C56DD0">
        <w:rPr>
          <w:rFonts w:ascii="Times New Roman" w:hAnsi="Times New Roman" w:cs="Times New Roman"/>
        </w:rPr>
        <w:t xml:space="preserve">As in “Don’t let the rug be pulled from under your feet, learn to ... </w:t>
      </w:r>
    </w:p>
  </w:footnote>
  <w:footnote w:id="32">
    <w:p w:rsidR="00EE7839" w:rsidRDefault="00EE7839" w:rsidP="00E76F0B">
      <w:pPr>
        <w:pStyle w:val="FootnoteText"/>
      </w:pPr>
      <w:r>
        <w:rPr>
          <w:rStyle w:val="FootnoteReference"/>
        </w:rPr>
        <w:footnoteRef/>
      </w:r>
      <w:r>
        <w:t xml:space="preserve"> </w:t>
      </w:r>
      <w:r>
        <w:rPr>
          <w:rFonts w:ascii="Times New Roman" w:hAnsi="Times New Roman" w:cs="Times New Roman"/>
          <w:bCs/>
        </w:rPr>
        <w:t>(CTH</w:t>
      </w:r>
      <w:r w:rsidRPr="00F7016A">
        <w:rPr>
          <w:rFonts w:ascii="Times New Roman" w:hAnsi="Times New Roman" w:cs="Times New Roman"/>
          <w:bCs/>
        </w:rPr>
        <w:t>)</w:t>
      </w:r>
      <w:r w:rsidRPr="00452918">
        <w:rPr>
          <w:rFonts w:ascii="Times New Roman" w:hAnsi="Times New Roman" w:cs="Times New Roman"/>
          <w:bCs/>
          <w:i/>
        </w:rPr>
        <w:t>Tertiary Education Quality and Standards Agency Act 2011</w:t>
      </w:r>
      <w:r w:rsidRPr="00F7016A">
        <w:rPr>
          <w:rFonts w:ascii="Times New Roman" w:hAnsi="Times New Roman" w:cs="Times New Roman"/>
          <w:bCs/>
        </w:rPr>
        <w:t xml:space="preserve"> s.3</w:t>
      </w:r>
    </w:p>
  </w:footnote>
  <w:footnote w:id="33">
    <w:p w:rsidR="00EE7839" w:rsidRDefault="00EE7839" w:rsidP="00E76F0B">
      <w:pPr>
        <w:pStyle w:val="FootnoteText"/>
      </w:pPr>
      <w:r>
        <w:rPr>
          <w:rStyle w:val="FootnoteReference"/>
        </w:rPr>
        <w:footnoteRef/>
      </w:r>
      <w:r>
        <w:t xml:space="preserve"> </w:t>
      </w:r>
      <w:r>
        <w:rPr>
          <w:rFonts w:ascii="Times New Roman" w:hAnsi="Times New Roman" w:cs="Times New Roman"/>
        </w:rPr>
        <w:t xml:space="preserve"> Ibid s.3 (c).  </w:t>
      </w:r>
    </w:p>
  </w:footnote>
  <w:footnote w:id="34">
    <w:p w:rsidR="00EE7839" w:rsidRDefault="00EE7839" w:rsidP="00670568">
      <w:pPr>
        <w:pStyle w:val="FootnoteText"/>
      </w:pPr>
      <w:r>
        <w:rPr>
          <w:rStyle w:val="FootnoteReference"/>
        </w:rPr>
        <w:footnoteRef/>
      </w:r>
      <w:r>
        <w:t xml:space="preserve"> </w:t>
      </w:r>
      <w:r>
        <w:rPr>
          <w:rFonts w:ascii="Times New Roman" w:hAnsi="Times New Roman" w:cs="Times New Roman"/>
        </w:rPr>
        <w:t xml:space="preserve"> (CTH) Tertiary Education and Quality Standards Agency Act 2011 s 198.</w:t>
      </w:r>
    </w:p>
  </w:footnote>
  <w:footnote w:id="35">
    <w:p w:rsidR="00EE7839" w:rsidRDefault="00EE7839">
      <w:pPr>
        <w:pStyle w:val="FootnoteText"/>
      </w:pPr>
      <w:r>
        <w:rPr>
          <w:rStyle w:val="FootnoteReference"/>
        </w:rPr>
        <w:footnoteRef/>
      </w:r>
      <w:r>
        <w:t xml:space="preserve"> </w:t>
      </w:r>
      <w:r>
        <w:rPr>
          <w:rFonts w:ascii="Times New Roman" w:hAnsi="Times New Roman" w:cs="Times New Roman"/>
        </w:rPr>
        <w:t xml:space="preserve"> Ibid s.1. An award is </w:t>
      </w:r>
      <w:r w:rsidRPr="00FB2198">
        <w:rPr>
          <w:rFonts w:ascii="Times New Roman" w:hAnsi="Times New Roman" w:cs="Times New Roman"/>
        </w:rPr>
        <w:t xml:space="preserve">defined as an Australian or overseas higher education </w:t>
      </w:r>
      <w:r>
        <w:rPr>
          <w:rFonts w:ascii="Times New Roman" w:hAnsi="Times New Roman" w:cs="Times New Roman"/>
        </w:rPr>
        <w:t>award (if it relates to a course</w:t>
      </w:r>
      <w:r>
        <w:rPr>
          <w:rFonts w:ascii="Times New Roman" w:hAnsi="Times New Roman" w:cs="Times New Roman"/>
        </w:rPr>
        <w:tab/>
      </w:r>
      <w:r>
        <w:rPr>
          <w:rFonts w:ascii="Times New Roman" w:hAnsi="Times New Roman" w:cs="Times New Roman"/>
        </w:rPr>
        <w:tab/>
        <w:t xml:space="preserve"> </w:t>
      </w:r>
      <w:r w:rsidRPr="00FB2198">
        <w:rPr>
          <w:rFonts w:ascii="Times New Roman" w:hAnsi="Times New Roman" w:cs="Times New Roman"/>
        </w:rPr>
        <w:t>undertaken at Australian premises).</w:t>
      </w:r>
    </w:p>
  </w:footnote>
  <w:footnote w:id="36">
    <w:p w:rsidR="00EE7839" w:rsidRDefault="00EE7839">
      <w:pPr>
        <w:pStyle w:val="FootnoteText"/>
      </w:pPr>
      <w:r>
        <w:rPr>
          <w:rStyle w:val="FootnoteReference"/>
        </w:rPr>
        <w:footnoteRef/>
      </w:r>
      <w:r>
        <w:t xml:space="preserve"> </w:t>
      </w:r>
      <w:r>
        <w:rPr>
          <w:rFonts w:ascii="Times New Roman" w:hAnsi="Times New Roman" w:cs="Times New Roman"/>
        </w:rPr>
        <w:t xml:space="preserve"> Ibid Part 3.</w:t>
      </w:r>
    </w:p>
  </w:footnote>
  <w:footnote w:id="37">
    <w:p w:rsidR="00EE7839" w:rsidRDefault="00EE7839">
      <w:pPr>
        <w:pStyle w:val="FootnoteText"/>
      </w:pPr>
      <w:r>
        <w:rPr>
          <w:rStyle w:val="FootnoteReference"/>
        </w:rPr>
        <w:footnoteRef/>
      </w:r>
      <w:r>
        <w:t xml:space="preserve"> </w:t>
      </w:r>
      <w:r>
        <w:rPr>
          <w:rFonts w:ascii="Times New Roman" w:hAnsi="Times New Roman" w:cs="Times New Roman"/>
        </w:rPr>
        <w:t xml:space="preserve"> Ibid Part 9.</w:t>
      </w:r>
    </w:p>
  </w:footnote>
  <w:footnote w:id="38">
    <w:p w:rsidR="00EE7839" w:rsidRDefault="00EE7839">
      <w:pPr>
        <w:pStyle w:val="FootnoteText"/>
      </w:pPr>
      <w:r>
        <w:rPr>
          <w:rStyle w:val="FootnoteReference"/>
        </w:rPr>
        <w:footnoteRef/>
      </w:r>
      <w:r>
        <w:t xml:space="preserve"> </w:t>
      </w:r>
      <w:r>
        <w:rPr>
          <w:rFonts w:ascii="Times New Roman" w:hAnsi="Times New Roman" w:cs="Times New Roman"/>
        </w:rPr>
        <w:t xml:space="preserve"> Ibid Part 5 s 58.</w:t>
      </w:r>
    </w:p>
  </w:footnote>
  <w:footnote w:id="39">
    <w:p w:rsidR="00EE7839" w:rsidRPr="00937AC3" w:rsidRDefault="00EE7839">
      <w:pPr>
        <w:pStyle w:val="FootnoteText"/>
      </w:pPr>
      <w:r>
        <w:rPr>
          <w:rStyle w:val="FootnoteReference"/>
        </w:rPr>
        <w:footnoteRef/>
      </w:r>
      <w:r>
        <w:t xml:space="preserve"> </w:t>
      </w:r>
      <w:r>
        <w:rPr>
          <w:rFonts w:ascii="Times New Roman" w:hAnsi="Times New Roman" w:cs="Times New Roman"/>
          <w:sz w:val="24"/>
          <w:szCs w:val="24"/>
        </w:rPr>
        <w:t xml:space="preserve"> S</w:t>
      </w:r>
      <w:r w:rsidRPr="00B6620A">
        <w:rPr>
          <w:rFonts w:ascii="Times New Roman" w:hAnsi="Times New Roman" w:cs="Times New Roman"/>
          <w:sz w:val="24"/>
          <w:szCs w:val="24"/>
        </w:rPr>
        <w:t xml:space="preserve">ee </w:t>
      </w:r>
      <w:r w:rsidRPr="00937AC3">
        <w:rPr>
          <w:rFonts w:ascii="Times New Roman" w:hAnsi="Times New Roman" w:cs="Times New Roman"/>
          <w:i/>
        </w:rPr>
        <w:t>Higher Education Threshold Standards 2011</w:t>
      </w:r>
      <w:r w:rsidRPr="00937AC3">
        <w:rPr>
          <w:rFonts w:ascii="Times New Roman" w:hAnsi="Times New Roman" w:cs="Times New Roman"/>
        </w:rPr>
        <w:t xml:space="preserve">, made pursuant to (CTH) </w:t>
      </w:r>
      <w:r w:rsidRPr="00937AC3">
        <w:rPr>
          <w:rFonts w:ascii="Times New Roman" w:hAnsi="Times New Roman" w:cs="Times New Roman"/>
          <w:i/>
        </w:rPr>
        <w:t xml:space="preserve">Tertiary Education Quality and Standards Agency Act 2011 </w:t>
      </w:r>
      <w:r>
        <w:rPr>
          <w:rFonts w:ascii="Times New Roman" w:hAnsi="Times New Roman" w:cs="Times New Roman"/>
        </w:rPr>
        <w:t>s 58(1).</w:t>
      </w:r>
    </w:p>
  </w:footnote>
  <w:footnote w:id="40">
    <w:p w:rsidR="00EE7839" w:rsidRPr="00CF45D4" w:rsidRDefault="00EE7839">
      <w:pPr>
        <w:pStyle w:val="FootnoteText"/>
        <w:rPr>
          <w:rFonts w:ascii="Times New Roman" w:hAnsi="Times New Roman" w:cs="Times New Roman"/>
        </w:rPr>
      </w:pPr>
      <w:r w:rsidRPr="00CF45D4">
        <w:rPr>
          <w:rStyle w:val="FootnoteReference"/>
        </w:rPr>
        <w:footnoteRef/>
      </w:r>
      <w:r w:rsidRPr="00CF45D4">
        <w:rPr>
          <w:rFonts w:ascii="Times New Roman" w:hAnsi="Times New Roman" w:cs="Times New Roman"/>
        </w:rPr>
        <w:t xml:space="preserve"> The latter are the universities, such as my own, the University of Technology, Sydney, who had been due in 2012 for cyclical review under the previously existing national quality body, the Australian Universities Quality Agency</w:t>
      </w:r>
      <w:r>
        <w:rPr>
          <w:rFonts w:ascii="Times New Roman" w:hAnsi="Times New Roman" w:cs="Times New Roman"/>
        </w:rPr>
        <w:t xml:space="preserve"> (AUQA)</w:t>
      </w:r>
      <w:r w:rsidRPr="00CF45D4">
        <w:rPr>
          <w:rFonts w:ascii="Times New Roman" w:hAnsi="Times New Roman" w:cs="Times New Roman"/>
        </w:rPr>
        <w:t xml:space="preserve">.  </w:t>
      </w:r>
      <w:r>
        <w:rPr>
          <w:rFonts w:ascii="Times New Roman" w:hAnsi="Times New Roman" w:cs="Times New Roman"/>
        </w:rPr>
        <w:t>T</w:t>
      </w:r>
      <w:r w:rsidRPr="00CF45D4">
        <w:rPr>
          <w:rFonts w:ascii="Times New Roman" w:hAnsi="Times New Roman" w:cs="Times New Roman"/>
        </w:rPr>
        <w:t>his body ‘parachuted in’ to undertake reviews of providers on cyclical basis, commonly five-yearly for publ</w:t>
      </w:r>
      <w:r>
        <w:rPr>
          <w:rFonts w:ascii="Times New Roman" w:hAnsi="Times New Roman" w:cs="Times New Roman"/>
        </w:rPr>
        <w:t>ic sector universities, r</w:t>
      </w:r>
      <w:r w:rsidRPr="00CF45D4">
        <w:rPr>
          <w:rFonts w:ascii="Times New Roman" w:hAnsi="Times New Roman" w:cs="Times New Roman"/>
        </w:rPr>
        <w:t xml:space="preserve">ather than having an overarching responsibility for </w:t>
      </w:r>
      <w:r>
        <w:rPr>
          <w:rFonts w:ascii="Times New Roman" w:hAnsi="Times New Roman" w:cs="Times New Roman"/>
        </w:rPr>
        <w:t xml:space="preserve">quality and standards in higher </w:t>
      </w:r>
      <w:r w:rsidRPr="00CF45D4">
        <w:rPr>
          <w:rFonts w:ascii="Times New Roman" w:hAnsi="Times New Roman" w:cs="Times New Roman"/>
        </w:rPr>
        <w:t>education on an ongoing basis</w:t>
      </w:r>
      <w:r>
        <w:rPr>
          <w:rFonts w:ascii="Times New Roman" w:hAnsi="Times New Roman" w:cs="Times New Roman"/>
        </w:rPr>
        <w:t xml:space="preserve"> (which TEQSA now has).</w:t>
      </w:r>
    </w:p>
  </w:footnote>
  <w:footnote w:id="41">
    <w:p w:rsidR="00EE7839" w:rsidRPr="00234267" w:rsidRDefault="00EE7839">
      <w:pPr>
        <w:pStyle w:val="FootnoteText"/>
        <w:rPr>
          <w:rFonts w:ascii="Times New Roman" w:hAnsi="Times New Roman" w:cs="Times New Roman"/>
        </w:rPr>
      </w:pPr>
      <w:r w:rsidRPr="00234267">
        <w:rPr>
          <w:rStyle w:val="FootnoteReference"/>
        </w:rPr>
        <w:footnoteRef/>
      </w:r>
      <w:r w:rsidRPr="00234267">
        <w:rPr>
          <w:rFonts w:ascii="Times New Roman" w:hAnsi="Times New Roman" w:cs="Times New Roman"/>
        </w:rPr>
        <w:t xml:space="preserve"> There is now some doubt as to the definition and form of these Standards, expressed in </w:t>
      </w:r>
      <w:proofErr w:type="spellStart"/>
      <w:r w:rsidRPr="00234267">
        <w:rPr>
          <w:rFonts w:ascii="Times New Roman" w:hAnsi="Times New Roman" w:cs="Times New Roman"/>
        </w:rPr>
        <w:t>Communiques</w:t>
      </w:r>
      <w:proofErr w:type="spellEnd"/>
      <w:r w:rsidRPr="00234267">
        <w:rPr>
          <w:rFonts w:ascii="Times New Roman" w:hAnsi="Times New Roman" w:cs="Times New Roman"/>
        </w:rPr>
        <w:t xml:space="preserve"> no 2 and 3 from the Higher Education Standards Panel in August and September 2012. </w:t>
      </w:r>
    </w:p>
  </w:footnote>
  <w:footnote w:id="42">
    <w:p w:rsidR="00EE7839" w:rsidRPr="00A15B15" w:rsidRDefault="00EE783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February 2012. Accessed at </w:t>
      </w:r>
      <w:hyperlink r:id="rId6" w:history="1">
        <w:r w:rsidRPr="00A15B15">
          <w:rPr>
            <w:rStyle w:val="Hyperlink"/>
          </w:rPr>
          <w:t>www.teqsa.gov.au</w:t>
        </w:r>
      </w:hyperlink>
      <w:r w:rsidRPr="00A15B15">
        <w:rPr>
          <w:rFonts w:ascii="Times New Roman" w:hAnsi="Times New Roman" w:cs="Times New Roman"/>
        </w:rPr>
        <w:t xml:space="preserve">. </w:t>
      </w:r>
      <w:r>
        <w:rPr>
          <w:rFonts w:ascii="Times New Roman" w:hAnsi="Times New Roman" w:cs="Times New Roman"/>
        </w:rPr>
        <w:t xml:space="preserve"> Discussed below.</w:t>
      </w:r>
    </w:p>
  </w:footnote>
  <w:footnote w:id="43">
    <w:p w:rsidR="00EE7839" w:rsidRPr="00234267" w:rsidRDefault="00EE7839">
      <w:pPr>
        <w:pStyle w:val="FootnoteText"/>
        <w:rPr>
          <w:rFonts w:ascii="Times New Roman" w:hAnsi="Times New Roman" w:cs="Times New Roman"/>
        </w:rPr>
      </w:pPr>
      <w:r w:rsidRPr="00234267">
        <w:rPr>
          <w:rStyle w:val="FootnoteReference"/>
        </w:rPr>
        <w:footnoteRef/>
      </w:r>
      <w:r w:rsidRPr="00234267">
        <w:rPr>
          <w:rFonts w:ascii="Times New Roman" w:hAnsi="Times New Roman" w:cs="Times New Roman"/>
        </w:rPr>
        <w:t xml:space="preserve"> See n 10.</w:t>
      </w:r>
    </w:p>
  </w:footnote>
  <w:footnote w:id="44">
    <w:p w:rsidR="00EE7839" w:rsidRPr="00F820EE" w:rsidRDefault="00EE7839" w:rsidP="00F820EE">
      <w:pPr>
        <w:spacing w:before="120" w:line="240" w:lineRule="auto"/>
        <w:rPr>
          <w:rFonts w:ascii="Times New Roman" w:hAnsi="Times New Roman" w:cs="Times New Roman"/>
          <w:sz w:val="20"/>
          <w:szCs w:val="20"/>
        </w:rPr>
      </w:pPr>
      <w:r>
        <w:rPr>
          <w:rStyle w:val="FootnoteReference"/>
        </w:rPr>
        <w:footnoteRef/>
      </w:r>
      <w:r>
        <w:t xml:space="preserve"> </w:t>
      </w:r>
      <w:r w:rsidRPr="00937AC3">
        <w:rPr>
          <w:rFonts w:ascii="Times New Roman" w:hAnsi="Times New Roman" w:cs="Times New Roman"/>
          <w:sz w:val="20"/>
          <w:szCs w:val="20"/>
        </w:rPr>
        <w:t xml:space="preserve">(CTH) </w:t>
      </w:r>
      <w:r w:rsidRPr="00937AC3">
        <w:rPr>
          <w:rFonts w:ascii="Times New Roman" w:hAnsi="Times New Roman" w:cs="Times New Roman"/>
          <w:i/>
          <w:sz w:val="20"/>
          <w:szCs w:val="20"/>
        </w:rPr>
        <w:t>Tertiary Education Quality and Standards Agency Act 2011</w:t>
      </w:r>
      <w:r w:rsidRPr="00937AC3">
        <w:rPr>
          <w:rFonts w:ascii="Times New Roman" w:hAnsi="Times New Roman" w:cs="Times New Roman"/>
          <w:sz w:val="20"/>
          <w:szCs w:val="20"/>
        </w:rPr>
        <w:t xml:space="preserve"> s 58(1) (Minister may make Standards by legislative instrument), (CTH) </w:t>
      </w:r>
      <w:r w:rsidRPr="00937AC3">
        <w:rPr>
          <w:rFonts w:ascii="Times New Roman" w:hAnsi="Times New Roman" w:cs="Times New Roman"/>
          <w:i/>
          <w:sz w:val="20"/>
          <w:szCs w:val="20"/>
        </w:rPr>
        <w:t>Tertiary Education Quality and Standards Agency (Consequential Amendments and Transitional Provisions)Act 2011</w:t>
      </w:r>
      <w:r w:rsidRPr="00937AC3">
        <w:rPr>
          <w:rFonts w:ascii="Times New Roman" w:hAnsi="Times New Roman" w:cs="Times New Roman"/>
          <w:sz w:val="20"/>
          <w:szCs w:val="20"/>
        </w:rPr>
        <w:t xml:space="preserve"> Sch 3, Part 6 (Threshold Standards are a subset of the Higher E</w:t>
      </w:r>
      <w:r>
        <w:rPr>
          <w:rFonts w:ascii="Times New Roman" w:hAnsi="Times New Roman" w:cs="Times New Roman"/>
          <w:sz w:val="20"/>
          <w:szCs w:val="20"/>
        </w:rPr>
        <w:t>ducation Standards Framework).  For the Regulatory Risk Framework, see below.</w:t>
      </w:r>
    </w:p>
  </w:footnote>
  <w:footnote w:id="45">
    <w:p w:rsidR="00EE7839" w:rsidRDefault="00EE7839">
      <w:pPr>
        <w:pStyle w:val="FootnoteText"/>
      </w:pPr>
      <w:r w:rsidRPr="00CF098E">
        <w:rPr>
          <w:rStyle w:val="FootnoteReference"/>
        </w:rPr>
        <w:footnoteRef/>
      </w:r>
      <w:r w:rsidRPr="00CF098E">
        <w:rPr>
          <w:rFonts w:ascii="Times New Roman" w:hAnsi="Times New Roman" w:cs="Times New Roman"/>
        </w:rPr>
        <w:t xml:space="preserve"> </w:t>
      </w:r>
      <w:r>
        <w:rPr>
          <w:rFonts w:ascii="Times New Roman" w:hAnsi="Times New Roman" w:cs="Times New Roman"/>
        </w:rPr>
        <w:t>The Category Standards may be a</w:t>
      </w:r>
      <w:r w:rsidRPr="00CF098E">
        <w:rPr>
          <w:rFonts w:ascii="Times New Roman" w:hAnsi="Times New Roman" w:cs="Times New Roman"/>
        </w:rPr>
        <w:t xml:space="preserve">ccessed </w:t>
      </w:r>
      <w:r>
        <w:rPr>
          <w:rFonts w:ascii="Times New Roman" w:hAnsi="Times New Roman" w:cs="Times New Roman"/>
        </w:rPr>
        <w:t xml:space="preserve">at </w:t>
      </w:r>
      <w:hyperlink r:id="rId7" w:history="1">
        <w:r w:rsidRPr="007945BD">
          <w:rPr>
            <w:rStyle w:val="Hyperlink"/>
          </w:rPr>
          <w:t>www.comlaw.gov.au</w:t>
        </w:r>
      </w:hyperlink>
      <w:r w:rsidRPr="007945BD">
        <w:rPr>
          <w:rFonts w:ascii="Times New Roman" w:hAnsi="Times New Roman" w:cs="Times New Roman"/>
        </w:rPr>
        <w:t>.</w:t>
      </w:r>
      <w:r>
        <w:rPr>
          <w:rFonts w:ascii="Times New Roman" w:hAnsi="Times New Roman" w:cs="Times New Roman"/>
          <w:sz w:val="24"/>
          <w:szCs w:val="24"/>
        </w:rPr>
        <w:t xml:space="preserve"> </w:t>
      </w:r>
      <w:r>
        <w:t xml:space="preserve"> </w:t>
      </w:r>
    </w:p>
  </w:footnote>
  <w:footnote w:id="46">
    <w:p w:rsidR="00EE7839" w:rsidRPr="00B47EC6" w:rsidRDefault="00EE7839">
      <w:pPr>
        <w:pStyle w:val="FootnoteText"/>
        <w:rPr>
          <w:rFonts w:ascii="Times New Roman" w:hAnsi="Times New Roman" w:cs="Times New Roman"/>
        </w:rPr>
      </w:pPr>
      <w:r w:rsidRPr="00B47EC6">
        <w:rPr>
          <w:rStyle w:val="FootnoteReference"/>
        </w:rPr>
        <w:footnoteRef/>
      </w:r>
      <w:r w:rsidRPr="00B47EC6">
        <w:rPr>
          <w:rFonts w:ascii="Times New Roman" w:hAnsi="Times New Roman" w:cs="Times New Roman"/>
        </w:rPr>
        <w:t xml:space="preserve"> Explanatory Statement, </w:t>
      </w:r>
      <w:r w:rsidRPr="00B47EC6">
        <w:rPr>
          <w:rFonts w:ascii="Times New Roman" w:hAnsi="Times New Roman" w:cs="Times New Roman"/>
          <w:i/>
        </w:rPr>
        <w:t>Higher Education Standards Framework (Threshold Standards) 2011,</w:t>
      </w:r>
      <w:r w:rsidRPr="00B47EC6">
        <w:rPr>
          <w:rFonts w:ascii="Times New Roman" w:hAnsi="Times New Roman" w:cs="Times New Roman"/>
        </w:rPr>
        <w:t xml:space="preserve"> 8-9.</w:t>
      </w:r>
    </w:p>
  </w:footnote>
  <w:footnote w:id="47">
    <w:p w:rsidR="00EE7839" w:rsidRPr="00B26A65" w:rsidRDefault="00EE7839">
      <w:pPr>
        <w:pStyle w:val="FootnoteText"/>
        <w:rPr>
          <w:rFonts w:ascii="Times New Roman" w:hAnsi="Times New Roman" w:cs="Times New Roman"/>
        </w:rPr>
      </w:pPr>
      <w:r w:rsidRPr="00B26A65">
        <w:rPr>
          <w:rStyle w:val="FootnoteReference"/>
        </w:rPr>
        <w:footnoteRef/>
      </w:r>
      <w:r w:rsidRPr="00B26A65">
        <w:rPr>
          <w:rFonts w:ascii="Times New Roman" w:hAnsi="Times New Roman" w:cs="Times New Roman"/>
        </w:rPr>
        <w:t xml:space="preserve">See </w:t>
      </w:r>
      <w:proofErr w:type="spellStart"/>
      <w:r w:rsidRPr="00B26A65">
        <w:rPr>
          <w:rFonts w:ascii="Times New Roman" w:hAnsi="Times New Roman" w:cs="Times New Roman"/>
        </w:rPr>
        <w:t>Communique</w:t>
      </w:r>
      <w:proofErr w:type="spellEnd"/>
      <w:r w:rsidRPr="00B26A65">
        <w:rPr>
          <w:rFonts w:ascii="Times New Roman" w:hAnsi="Times New Roman" w:cs="Times New Roman"/>
        </w:rPr>
        <w:t xml:space="preserve"> Number 2 – August 2012, issued by the Higher Education Standards Panel.</w:t>
      </w:r>
    </w:p>
  </w:footnote>
  <w:footnote w:id="48">
    <w:p w:rsidR="00EE7839" w:rsidRPr="00CC4D7D" w:rsidRDefault="00EE7839" w:rsidP="00CC4D7D">
      <w:pPr>
        <w:pStyle w:val="NormalWeb"/>
        <w:rPr>
          <w:sz w:val="20"/>
          <w:szCs w:val="20"/>
        </w:rPr>
      </w:pPr>
      <w:r w:rsidRPr="00CC4D7D">
        <w:rPr>
          <w:rStyle w:val="FootnoteReference"/>
          <w:sz w:val="20"/>
          <w:szCs w:val="20"/>
        </w:rPr>
        <w:footnoteRef/>
      </w:r>
      <w:r w:rsidRPr="00CC4D7D">
        <w:rPr>
          <w:sz w:val="20"/>
          <w:szCs w:val="20"/>
        </w:rPr>
        <w:t xml:space="preserve"> In this context, see Krause K-L, Barrie S, Scott G (2012) ‘</w:t>
      </w:r>
      <w:r w:rsidRPr="00CC4D7D">
        <w:rPr>
          <w:i/>
          <w:sz w:val="20"/>
          <w:szCs w:val="20"/>
        </w:rPr>
        <w:t>Mapping Learning and Teaching Standards in Australian Higher Education: An Issues and Options Paper’</w:t>
      </w:r>
      <w:r w:rsidRPr="00CC4D7D">
        <w:rPr>
          <w:sz w:val="20"/>
          <w:szCs w:val="20"/>
        </w:rPr>
        <w:t xml:space="preserve">.  Accessed at </w:t>
      </w:r>
      <w:hyperlink r:id="rId8" w:history="1">
        <w:r w:rsidRPr="00CC4D7D">
          <w:rPr>
            <w:rStyle w:val="Hyperlink"/>
            <w:sz w:val="20"/>
            <w:szCs w:val="20"/>
          </w:rPr>
          <w:t>www.uws.edu.au/__data/assets/pdf_file/.../KerriLee_website.pdf</w:t>
        </w:r>
      </w:hyperlink>
      <w:r w:rsidRPr="00CC4D7D">
        <w:rPr>
          <w:rStyle w:val="HTMLCite"/>
          <w:i w:val="0"/>
          <w:color w:val="222222"/>
          <w:sz w:val="20"/>
          <w:szCs w:val="20"/>
        </w:rPr>
        <w:t xml:space="preserve">.   </w:t>
      </w:r>
      <w:r w:rsidRPr="00CC4D7D">
        <w:rPr>
          <w:sz w:val="20"/>
          <w:szCs w:val="20"/>
        </w:rPr>
        <w:t xml:space="preserve">Following a detailed analysis of the feedback received, the Panel issued a </w:t>
      </w:r>
      <w:proofErr w:type="spellStart"/>
      <w:r w:rsidRPr="00CC4D7D">
        <w:rPr>
          <w:sz w:val="20"/>
          <w:szCs w:val="20"/>
        </w:rPr>
        <w:t>Communique</w:t>
      </w:r>
      <w:proofErr w:type="spellEnd"/>
      <w:r w:rsidRPr="00CC4D7D">
        <w:rPr>
          <w:sz w:val="20"/>
          <w:szCs w:val="20"/>
        </w:rPr>
        <w:t xml:space="preserve"> in September 2012 summarising its response.  </w:t>
      </w:r>
    </w:p>
  </w:footnote>
  <w:footnote w:id="49">
    <w:p w:rsidR="00EE7839" w:rsidRPr="007F6E2F" w:rsidRDefault="00EE7839">
      <w:pPr>
        <w:pStyle w:val="FootnoteText"/>
        <w:rPr>
          <w:rFonts w:ascii="Helvetica" w:hAnsi="Helvetica" w:cs="Helvetica"/>
          <w:color w:val="333333"/>
          <w:sz w:val="19"/>
          <w:szCs w:val="19"/>
        </w:rPr>
      </w:pPr>
      <w:r>
        <w:rPr>
          <w:rStyle w:val="FootnoteReference"/>
        </w:rPr>
        <w:footnoteRef/>
      </w:r>
      <w:r>
        <w:t xml:space="preserve"> </w:t>
      </w:r>
      <w:r w:rsidRPr="00CD66F0">
        <w:rPr>
          <w:rFonts w:ascii="Times New Roman" w:hAnsi="Times New Roman" w:cs="Times New Roman"/>
        </w:rPr>
        <w:t xml:space="preserve">This Code is aimed at </w:t>
      </w:r>
      <w:r w:rsidRPr="00CD66F0">
        <w:rPr>
          <w:rFonts w:ascii="Times New Roman" w:hAnsi="Times New Roman" w:cs="Times New Roman"/>
          <w:color w:val="333333"/>
        </w:rPr>
        <w:t>guiding institutions and researchers in responsible research practices and promotes integrity in research for researchers</w:t>
      </w:r>
      <w:r>
        <w:rPr>
          <w:rFonts w:ascii="Helvetica" w:hAnsi="Helvetica" w:cs="Helvetica"/>
          <w:color w:val="333333"/>
          <w:sz w:val="19"/>
          <w:szCs w:val="19"/>
        </w:rPr>
        <w:t xml:space="preserve">. </w:t>
      </w:r>
      <w:r w:rsidRPr="002F559D">
        <w:rPr>
          <w:rFonts w:ascii="Times New Roman" w:hAnsi="Times New Roman" w:cs="Times New Roman"/>
          <w:color w:val="333333"/>
        </w:rPr>
        <w:t xml:space="preserve">Accessed at </w:t>
      </w:r>
      <w:hyperlink r:id="rId9" w:history="1">
        <w:r w:rsidRPr="00D0632A">
          <w:rPr>
            <w:rStyle w:val="Hyperlink"/>
          </w:rPr>
          <w:t xml:space="preserve">http://www.nhmrc.gov.au/guidelines/publications/r3. </w:t>
        </w:r>
      </w:hyperlink>
      <w:r>
        <w:rPr>
          <w:rFonts w:ascii="Helvetica" w:hAnsi="Helvetica" w:cs="Helvetica"/>
          <w:color w:val="333333"/>
          <w:sz w:val="19"/>
          <w:szCs w:val="19"/>
        </w:rPr>
        <w:tab/>
      </w:r>
      <w:r>
        <w:rPr>
          <w:rFonts w:ascii="Helvetica" w:hAnsi="Helvetica" w:cs="Helvetica"/>
          <w:color w:val="333333"/>
          <w:sz w:val="19"/>
          <w:szCs w:val="19"/>
        </w:rPr>
        <w:tab/>
      </w:r>
      <w:r>
        <w:rPr>
          <w:rFonts w:ascii="Helvetica" w:hAnsi="Helvetica" w:cs="Helvetica"/>
          <w:color w:val="333333"/>
          <w:sz w:val="19"/>
          <w:szCs w:val="19"/>
        </w:rPr>
        <w:tab/>
      </w:r>
      <w:r>
        <w:rPr>
          <w:rFonts w:ascii="Helvetica" w:hAnsi="Helvetica" w:cs="Helvetica"/>
          <w:color w:val="333333"/>
          <w:sz w:val="19"/>
          <w:szCs w:val="19"/>
        </w:rPr>
        <w:tab/>
      </w:r>
      <w:r>
        <w:rPr>
          <w:rFonts w:ascii="Helvetica" w:hAnsi="Helvetica" w:cs="Helvetica"/>
          <w:color w:val="333333"/>
          <w:sz w:val="19"/>
          <w:szCs w:val="19"/>
        </w:rPr>
        <w:tab/>
      </w:r>
      <w:r>
        <w:rPr>
          <w:rFonts w:ascii="Helvetica" w:hAnsi="Helvetica" w:cs="Helvetica"/>
          <w:color w:val="333333"/>
          <w:sz w:val="19"/>
          <w:szCs w:val="19"/>
        </w:rPr>
        <w:tab/>
      </w:r>
      <w:r>
        <w:rPr>
          <w:rFonts w:ascii="Helvetica" w:hAnsi="Helvetica" w:cs="Helvetica"/>
          <w:color w:val="333333"/>
          <w:sz w:val="19"/>
          <w:szCs w:val="19"/>
        </w:rPr>
        <w:tab/>
      </w:r>
      <w:r>
        <w:rPr>
          <w:rFonts w:ascii="Helvetica" w:hAnsi="Helvetica" w:cs="Helvetica"/>
          <w:color w:val="333333"/>
          <w:sz w:val="19"/>
          <w:szCs w:val="19"/>
        </w:rPr>
        <w:tab/>
      </w:r>
      <w:r>
        <w:rPr>
          <w:rFonts w:ascii="Helvetica" w:hAnsi="Helvetica" w:cs="Helvetica"/>
          <w:color w:val="333333"/>
          <w:sz w:val="19"/>
          <w:szCs w:val="19"/>
        </w:rPr>
        <w:tab/>
      </w:r>
      <w:r>
        <w:rPr>
          <w:rFonts w:ascii="Helvetica" w:hAnsi="Helvetica" w:cs="Helvetica"/>
          <w:color w:val="333333"/>
          <w:sz w:val="19"/>
          <w:szCs w:val="19"/>
        </w:rPr>
        <w:tab/>
      </w:r>
      <w:r>
        <w:rPr>
          <w:rFonts w:ascii="Helvetica" w:hAnsi="Helvetica" w:cs="Helvetica"/>
          <w:color w:val="333333"/>
          <w:sz w:val="19"/>
          <w:szCs w:val="19"/>
        </w:rPr>
        <w:tab/>
      </w:r>
    </w:p>
  </w:footnote>
  <w:footnote w:id="50">
    <w:p w:rsidR="00EE7839" w:rsidRDefault="00EE7839">
      <w:pPr>
        <w:pStyle w:val="FootnoteText"/>
      </w:pPr>
      <w:r>
        <w:rPr>
          <w:rStyle w:val="FootnoteReference"/>
        </w:rPr>
        <w:footnoteRef/>
      </w:r>
      <w:r>
        <w:t xml:space="preserve"> </w:t>
      </w:r>
      <w:r w:rsidRPr="00EA27EE">
        <w:rPr>
          <w:rFonts w:ascii="Times New Roman" w:hAnsi="Times New Roman" w:cs="Times New Roman"/>
        </w:rPr>
        <w:t xml:space="preserve">For a comprehensive discussion of this area, see </w:t>
      </w:r>
      <w:proofErr w:type="spellStart"/>
      <w:r w:rsidRPr="00EA27EE">
        <w:rPr>
          <w:rFonts w:ascii="Times New Roman" w:hAnsi="Times New Roman" w:cs="Times New Roman"/>
        </w:rPr>
        <w:t>Kamvounias</w:t>
      </w:r>
      <w:proofErr w:type="spellEnd"/>
      <w:r w:rsidRPr="00EA27EE">
        <w:rPr>
          <w:rFonts w:ascii="Times New Roman" w:hAnsi="Times New Roman" w:cs="Times New Roman"/>
        </w:rPr>
        <w:t xml:space="preserve"> P &amp; </w:t>
      </w:r>
      <w:proofErr w:type="spellStart"/>
      <w:r w:rsidRPr="00EA27EE">
        <w:rPr>
          <w:rFonts w:ascii="Times New Roman" w:hAnsi="Times New Roman" w:cs="Times New Roman"/>
        </w:rPr>
        <w:t>Varnham</w:t>
      </w:r>
      <w:proofErr w:type="spellEnd"/>
      <w:r w:rsidRPr="00EA27EE">
        <w:rPr>
          <w:rFonts w:ascii="Times New Roman" w:hAnsi="Times New Roman" w:cs="Times New Roman"/>
        </w:rPr>
        <w:t xml:space="preserve"> S (2006) ‘Getting What They Paid For: Consumer Rights of Students in Higher Education’ 15(2) </w:t>
      </w:r>
      <w:r w:rsidRPr="00EA27EE">
        <w:rPr>
          <w:rFonts w:ascii="Times New Roman" w:hAnsi="Times New Roman" w:cs="Times New Roman"/>
          <w:i/>
        </w:rPr>
        <w:t xml:space="preserve">Griffith Law Review 288-306, and with respect to the revamped consumer protection regime see </w:t>
      </w:r>
      <w:proofErr w:type="spellStart"/>
      <w:r w:rsidRPr="00EA27EE">
        <w:rPr>
          <w:rFonts w:ascii="Times New Roman" w:hAnsi="Times New Roman" w:cs="Times New Roman"/>
          <w:i/>
        </w:rPr>
        <w:t>Corones</w:t>
      </w:r>
      <w:proofErr w:type="spellEnd"/>
      <w:r w:rsidRPr="00EA27EE">
        <w:rPr>
          <w:rFonts w:ascii="Times New Roman" w:hAnsi="Times New Roman" w:cs="Times New Roman"/>
          <w:i/>
        </w:rPr>
        <w:t xml:space="preserve"> S (2012) </w:t>
      </w:r>
      <w:r>
        <w:rPr>
          <w:rFonts w:ascii="Times New Roman" w:hAnsi="Times New Roman" w:cs="Times New Roman"/>
        </w:rPr>
        <w:t>‘Consumer Guarantees and the Su</w:t>
      </w:r>
      <w:r w:rsidRPr="00EA27EE">
        <w:rPr>
          <w:rFonts w:ascii="Times New Roman" w:hAnsi="Times New Roman" w:cs="Times New Roman"/>
        </w:rPr>
        <w:t xml:space="preserve">pply of Educational Service by Higher Education Providers’  35(1) </w:t>
      </w:r>
      <w:r w:rsidRPr="00EA27EE">
        <w:rPr>
          <w:rFonts w:ascii="Times New Roman" w:hAnsi="Times New Roman" w:cs="Times New Roman"/>
          <w:i/>
        </w:rPr>
        <w:t xml:space="preserve">University of New South Wales Law Journal 1-30; </w:t>
      </w:r>
      <w:r w:rsidRPr="00EA27EE">
        <w:rPr>
          <w:rFonts w:ascii="Times New Roman" w:hAnsi="Times New Roman" w:cs="Times New Roman"/>
        </w:rPr>
        <w:t xml:space="preserve">also within a full coverage of university/student grievances, see </w:t>
      </w:r>
      <w:proofErr w:type="spellStart"/>
      <w:r w:rsidRPr="00EA27EE">
        <w:rPr>
          <w:rFonts w:ascii="Times New Roman" w:hAnsi="Times New Roman" w:cs="Times New Roman"/>
        </w:rPr>
        <w:t>Kamvounias</w:t>
      </w:r>
      <w:proofErr w:type="spellEnd"/>
      <w:r w:rsidRPr="00EA27EE">
        <w:rPr>
          <w:rFonts w:ascii="Times New Roman" w:hAnsi="Times New Roman" w:cs="Times New Roman"/>
        </w:rPr>
        <w:t xml:space="preserve"> P &amp; </w:t>
      </w:r>
      <w:proofErr w:type="spellStart"/>
      <w:r w:rsidRPr="00EA27EE">
        <w:rPr>
          <w:rFonts w:ascii="Times New Roman" w:hAnsi="Times New Roman" w:cs="Times New Roman"/>
        </w:rPr>
        <w:t>Varnham</w:t>
      </w:r>
      <w:proofErr w:type="spellEnd"/>
      <w:r w:rsidRPr="00EA27EE">
        <w:rPr>
          <w:rFonts w:ascii="Times New Roman" w:hAnsi="Times New Roman" w:cs="Times New Roman"/>
        </w:rPr>
        <w:t xml:space="preserve"> S (2010)’Legal Challenges to University Decisions Affecting Students in Australian Courts and Tribunals’ 34(1) </w:t>
      </w:r>
      <w:r w:rsidRPr="00EA27EE">
        <w:rPr>
          <w:rFonts w:ascii="Times New Roman" w:hAnsi="Times New Roman" w:cs="Times New Roman"/>
          <w:i/>
        </w:rPr>
        <w:t xml:space="preserve">Melbourne University Law Review </w:t>
      </w:r>
      <w:r w:rsidRPr="00EA27EE">
        <w:rPr>
          <w:rFonts w:ascii="Times New Roman" w:hAnsi="Times New Roman" w:cs="Times New Roman"/>
        </w:rPr>
        <w:t>107-140.</w:t>
      </w:r>
      <w:r>
        <w:t xml:space="preserve">  </w:t>
      </w:r>
    </w:p>
  </w:footnote>
  <w:footnote w:id="51">
    <w:p w:rsidR="00EE7839" w:rsidRPr="00E66A8E" w:rsidRDefault="00EE7839">
      <w:pPr>
        <w:pStyle w:val="FootnoteText"/>
        <w:rPr>
          <w:rFonts w:ascii="Times New Roman" w:hAnsi="Times New Roman" w:cs="Times New Roman"/>
          <w:i/>
        </w:rPr>
      </w:pPr>
      <w:r w:rsidRPr="00E66A8E">
        <w:rPr>
          <w:rStyle w:val="FootnoteReference"/>
        </w:rPr>
        <w:footnoteRef/>
      </w:r>
      <w:r w:rsidRPr="00E66A8E">
        <w:rPr>
          <w:rFonts w:ascii="Times New Roman" w:hAnsi="Times New Roman" w:cs="Times New Roman"/>
        </w:rPr>
        <w:t xml:space="preserve"> </w:t>
      </w:r>
      <w:r w:rsidRPr="00E66A8E">
        <w:rPr>
          <w:rFonts w:ascii="Times New Roman" w:hAnsi="Times New Roman" w:cs="Times New Roman"/>
          <w:i/>
        </w:rPr>
        <w:t xml:space="preserve">Higher Education Standards Panel- </w:t>
      </w:r>
      <w:proofErr w:type="spellStart"/>
      <w:r w:rsidRPr="00E66A8E">
        <w:rPr>
          <w:rFonts w:ascii="Times New Roman" w:hAnsi="Times New Roman" w:cs="Times New Roman"/>
          <w:i/>
        </w:rPr>
        <w:t>Communique</w:t>
      </w:r>
      <w:proofErr w:type="spellEnd"/>
      <w:r w:rsidRPr="00E66A8E">
        <w:rPr>
          <w:rFonts w:ascii="Times New Roman" w:hAnsi="Times New Roman" w:cs="Times New Roman"/>
          <w:i/>
        </w:rPr>
        <w:t xml:space="preserve"> Number 2 (August 2012).</w:t>
      </w:r>
    </w:p>
  </w:footnote>
  <w:footnote w:id="52">
    <w:p w:rsidR="00EE7839" w:rsidRPr="008B45B3" w:rsidRDefault="00EE7839">
      <w:pPr>
        <w:pStyle w:val="FootnoteText"/>
        <w:rPr>
          <w:rFonts w:ascii="Times New Roman" w:hAnsi="Times New Roman" w:cs="Times New Roman"/>
        </w:rPr>
      </w:pPr>
      <w:r w:rsidRPr="008B45B3">
        <w:rPr>
          <w:rStyle w:val="FootnoteReference"/>
        </w:rPr>
        <w:footnoteRef/>
      </w:r>
      <w:r w:rsidRPr="008B45B3">
        <w:rPr>
          <w:rFonts w:ascii="Times New Roman" w:hAnsi="Times New Roman" w:cs="Times New Roman"/>
        </w:rPr>
        <w:t xml:space="preserve"> The Framework and Explanatory Material may be accessed at: </w:t>
      </w:r>
      <w:hyperlink r:id="rId10" w:history="1">
        <w:r w:rsidRPr="008B45B3">
          <w:rPr>
            <w:rStyle w:val="Hyperlink"/>
          </w:rPr>
          <w:t>http://www.teqsa.gov.au/sites/default/files/TEQSA%20Regulatory%20Risk%20Framework%20Feb%202012.pdf</w:t>
        </w:r>
      </w:hyperlink>
      <w:r>
        <w:rPr>
          <w:rFonts w:ascii="Times New Roman" w:hAnsi="Times New Roman" w:cs="Times New Roman"/>
        </w:rPr>
        <w:t xml:space="preserve">.  Much of the material here is reproduced from the document </w:t>
      </w:r>
      <w:r w:rsidRPr="00B16DE5">
        <w:rPr>
          <w:rFonts w:ascii="Times New Roman" w:hAnsi="Times New Roman" w:cs="Times New Roman"/>
          <w:i/>
        </w:rPr>
        <w:t>‘TEQSA Regulatory Risk Framework’</w:t>
      </w:r>
      <w:r>
        <w:rPr>
          <w:rFonts w:ascii="Times New Roman" w:hAnsi="Times New Roman" w:cs="Times New Roman"/>
        </w:rPr>
        <w:t xml:space="preserve"> accessed as above.</w:t>
      </w:r>
    </w:p>
  </w:footnote>
  <w:footnote w:id="53">
    <w:p w:rsidR="00EE7839" w:rsidRDefault="00EE7839">
      <w:pPr>
        <w:pStyle w:val="FootnoteText"/>
      </w:pPr>
      <w:r w:rsidRPr="0094158E">
        <w:rPr>
          <w:rStyle w:val="FootnoteReference"/>
        </w:rPr>
        <w:footnoteRef/>
      </w:r>
      <w:r w:rsidRPr="0094158E">
        <w:rPr>
          <w:rFonts w:ascii="Times New Roman" w:hAnsi="Times New Roman" w:cs="Times New Roman"/>
        </w:rPr>
        <w:t xml:space="preserve">TEQSA </w:t>
      </w:r>
      <w:r w:rsidRPr="0094158E">
        <w:rPr>
          <w:rFonts w:ascii="Times New Roman" w:hAnsi="Times New Roman" w:cs="Times New Roman"/>
          <w:i/>
        </w:rPr>
        <w:t xml:space="preserve">Regulatory Risk Framework. </w:t>
      </w:r>
      <w:r w:rsidRPr="0094158E">
        <w:rPr>
          <w:rFonts w:ascii="Times New Roman" w:hAnsi="Times New Roman" w:cs="Times New Roman"/>
        </w:rPr>
        <w:t>Accessed at</w:t>
      </w:r>
      <w:r>
        <w:t xml:space="preserve"> </w:t>
      </w:r>
      <w:hyperlink r:id="rId11" w:history="1">
        <w:r w:rsidRPr="008B45B3">
          <w:rPr>
            <w:rStyle w:val="Hyperlink"/>
          </w:rPr>
          <w:t>http://www.teqsa.gov.au/sites/default/files/TEQSA%20Regulatory%20Risk%20Framework%20Feb%202012.pdf</w:t>
        </w:r>
      </w:hyperlink>
    </w:p>
  </w:footnote>
  <w:footnote w:id="54">
    <w:p w:rsidR="00EE7839" w:rsidRPr="005D3522" w:rsidRDefault="00EE7839">
      <w:pPr>
        <w:pStyle w:val="FootnoteText"/>
        <w:rPr>
          <w:rFonts w:ascii="Times New Roman" w:hAnsi="Times New Roman" w:cs="Times New Roman"/>
        </w:rPr>
      </w:pPr>
      <w:r w:rsidRPr="005D3522">
        <w:rPr>
          <w:rStyle w:val="FootnoteReference"/>
        </w:rPr>
        <w:footnoteRef/>
      </w:r>
      <w:r w:rsidRPr="005D3522">
        <w:rPr>
          <w:rFonts w:ascii="Times New Roman" w:hAnsi="Times New Roman" w:cs="Times New Roman"/>
        </w:rPr>
        <w:t xml:space="preserve"> </w:t>
      </w:r>
      <w:r>
        <w:rPr>
          <w:rFonts w:ascii="Times New Roman" w:hAnsi="Times New Roman" w:cs="Times New Roman"/>
        </w:rPr>
        <w:t>T</w:t>
      </w:r>
      <w:r w:rsidRPr="005D3522">
        <w:rPr>
          <w:rFonts w:ascii="Times New Roman" w:hAnsi="Times New Roman" w:cs="Times New Roman"/>
        </w:rPr>
        <w:t>he legislative</w:t>
      </w:r>
      <w:r>
        <w:rPr>
          <w:rFonts w:ascii="Times New Roman" w:hAnsi="Times New Roman" w:cs="Times New Roman"/>
        </w:rPr>
        <w:t xml:space="preserve"> </w:t>
      </w:r>
      <w:r w:rsidRPr="005D3522">
        <w:rPr>
          <w:rFonts w:ascii="Times New Roman" w:hAnsi="Times New Roman" w:cs="Times New Roman"/>
        </w:rPr>
        <w:t xml:space="preserve">function and principles </w:t>
      </w:r>
      <w:r>
        <w:rPr>
          <w:rFonts w:ascii="Times New Roman" w:hAnsi="Times New Roman" w:cs="Times New Roman"/>
        </w:rPr>
        <w:t xml:space="preserve">applying to the exercise of the function </w:t>
      </w:r>
      <w:r w:rsidRPr="005D3522">
        <w:rPr>
          <w:rFonts w:ascii="Times New Roman" w:hAnsi="Times New Roman" w:cs="Times New Roman"/>
        </w:rPr>
        <w:t>of TEQSA</w:t>
      </w:r>
      <w:r>
        <w:rPr>
          <w:rFonts w:ascii="Times New Roman" w:hAnsi="Times New Roman" w:cs="Times New Roman"/>
        </w:rPr>
        <w:t xml:space="preserve"> in relation</w:t>
      </w:r>
      <w:r w:rsidRPr="005D3522">
        <w:rPr>
          <w:rFonts w:ascii="Times New Roman" w:hAnsi="Times New Roman" w:cs="Times New Roman"/>
        </w:rPr>
        <w:t xml:space="preserve"> to risk</w:t>
      </w:r>
      <w:r>
        <w:rPr>
          <w:rFonts w:ascii="Times New Roman" w:hAnsi="Times New Roman" w:cs="Times New Roman"/>
        </w:rPr>
        <w:t xml:space="preserve"> are set out in</w:t>
      </w:r>
      <w:r w:rsidRPr="005D3522">
        <w:rPr>
          <w:rFonts w:ascii="Times New Roman" w:hAnsi="Times New Roman" w:cs="Times New Roman"/>
        </w:rPr>
        <w:t xml:space="preserve"> </w:t>
      </w:r>
      <w:proofErr w:type="spellStart"/>
      <w:r w:rsidRPr="005D3522">
        <w:rPr>
          <w:rFonts w:ascii="Times New Roman" w:hAnsi="Times New Roman" w:cs="Times New Roman"/>
        </w:rPr>
        <w:t>ss</w:t>
      </w:r>
      <w:proofErr w:type="spellEnd"/>
      <w:r w:rsidRPr="005D3522">
        <w:rPr>
          <w:rFonts w:ascii="Times New Roman" w:hAnsi="Times New Roman" w:cs="Times New Roman"/>
        </w:rPr>
        <w:t xml:space="preserve"> 13 &amp; 15 </w:t>
      </w:r>
      <w:r w:rsidRPr="005D3522">
        <w:rPr>
          <w:rFonts w:ascii="Times New Roman" w:hAnsi="Times New Roman" w:cs="Times New Roman"/>
          <w:i/>
        </w:rPr>
        <w:t>Tertiary Education Quality and Standards Agency Act 2011.</w:t>
      </w:r>
      <w:r w:rsidRPr="005D3522">
        <w:rPr>
          <w:rFonts w:ascii="Times New Roman" w:hAnsi="Times New Roman" w:cs="Times New Roman"/>
        </w:rPr>
        <w:t xml:space="preserve"> </w:t>
      </w:r>
    </w:p>
  </w:footnote>
  <w:footnote w:id="55">
    <w:p w:rsidR="00EE7839" w:rsidRDefault="00EE7839">
      <w:pPr>
        <w:pStyle w:val="FootnoteText"/>
      </w:pPr>
      <w:r>
        <w:rPr>
          <w:rStyle w:val="FootnoteReference"/>
        </w:rPr>
        <w:footnoteRef/>
      </w:r>
      <w:r>
        <w:t xml:space="preserve"> </w:t>
      </w:r>
      <w:r w:rsidRPr="00A92A0D">
        <w:rPr>
          <w:rFonts w:ascii="Times New Roman" w:hAnsi="Times New Roman" w:cs="Times New Roman"/>
        </w:rPr>
        <w:t xml:space="preserve">Made pursuant to </w:t>
      </w:r>
      <w:r w:rsidRPr="00937AC3">
        <w:rPr>
          <w:rFonts w:ascii="Times New Roman" w:hAnsi="Times New Roman" w:cs="Times New Roman"/>
        </w:rPr>
        <w:t xml:space="preserve">(CTH) </w:t>
      </w:r>
      <w:r w:rsidRPr="00937AC3">
        <w:rPr>
          <w:rFonts w:ascii="Times New Roman" w:hAnsi="Times New Roman" w:cs="Times New Roman"/>
          <w:i/>
        </w:rPr>
        <w:t>Tertiary Education Quality and Standards Agency Act 2011</w:t>
      </w:r>
      <w:r w:rsidRPr="00937AC3">
        <w:rPr>
          <w:rFonts w:ascii="Times New Roman" w:hAnsi="Times New Roman" w:cs="Times New Roman"/>
        </w:rPr>
        <w:t xml:space="preserve"> s 58(1) (Minister may make Standards by legislative instrument), (CTH) </w:t>
      </w:r>
      <w:r w:rsidRPr="00937AC3">
        <w:rPr>
          <w:rFonts w:ascii="Times New Roman" w:hAnsi="Times New Roman" w:cs="Times New Roman"/>
          <w:i/>
        </w:rPr>
        <w:t>Tertiary Education Quality and Standards Agency (Consequential Amendments and Transitional Provisions)Act 2011</w:t>
      </w:r>
      <w:r w:rsidRPr="00937AC3">
        <w:rPr>
          <w:rFonts w:ascii="Times New Roman" w:hAnsi="Times New Roman" w:cs="Times New Roman"/>
        </w:rPr>
        <w:t xml:space="preserve"> Sch 3, Part 6 (Threshold Standards are a subset of the Higher E</w:t>
      </w:r>
      <w:r>
        <w:rPr>
          <w:rFonts w:ascii="Times New Roman" w:hAnsi="Times New Roman" w:cs="Times New Roman"/>
        </w:rPr>
        <w:t>ducation Standards Framework).</w:t>
      </w:r>
      <w:r>
        <w:rPr>
          <w:rFonts w:ascii="Times New Roman" w:hAnsi="Times New Roman" w:cs="Times New Roman"/>
        </w:rPr>
        <w:tab/>
      </w:r>
      <w:r>
        <w:rPr>
          <w:rFonts w:ascii="Times New Roman" w:hAnsi="Times New Roman" w:cs="Times New Roman"/>
        </w:rPr>
        <w:tab/>
      </w:r>
    </w:p>
  </w:footnote>
  <w:footnote w:id="56">
    <w:p w:rsidR="00EE7839" w:rsidRPr="00B551FF" w:rsidRDefault="00EE7839">
      <w:pPr>
        <w:pStyle w:val="FootnoteText"/>
        <w:rPr>
          <w:rFonts w:ascii="Times New Roman" w:hAnsi="Times New Roman" w:cs="Times New Roman"/>
        </w:rPr>
      </w:pPr>
      <w:r w:rsidRPr="00B551FF">
        <w:rPr>
          <w:rStyle w:val="FootnoteReference"/>
        </w:rPr>
        <w:footnoteRef/>
      </w:r>
      <w:r w:rsidRPr="00B551FF">
        <w:rPr>
          <w:rFonts w:ascii="Times New Roman" w:hAnsi="Times New Roman" w:cs="Times New Roman"/>
        </w:rPr>
        <w:t xml:space="preserve"> A Base Funding Review of Higher Education, led by Professor Jane Lomax-Smith, released its report in December 2011, but at October 2012, the Government is yet to release its response</w:t>
      </w:r>
      <w:r>
        <w:rPr>
          <w:rFonts w:ascii="Times New Roman" w:hAnsi="Times New Roman" w:cs="Times New Roman"/>
        </w:rPr>
        <w:t xml:space="preserve"> (n 19)</w:t>
      </w:r>
      <w:r w:rsidRPr="00B551FF">
        <w:rPr>
          <w:rFonts w:ascii="Times New Roman" w:hAnsi="Times New Roman" w:cs="Times New Roman"/>
        </w:rPr>
        <w:t>.</w:t>
      </w:r>
    </w:p>
  </w:footnote>
  <w:footnote w:id="57">
    <w:p w:rsidR="00EE7839" w:rsidRPr="005003BE" w:rsidRDefault="00EE7839" w:rsidP="005D29B2">
      <w:pPr>
        <w:rPr>
          <w:rFonts w:ascii="Times New Roman" w:hAnsi="Times New Roman" w:cs="Times New Roman"/>
          <w:sz w:val="20"/>
          <w:szCs w:val="20"/>
        </w:rPr>
      </w:pPr>
      <w:r>
        <w:rPr>
          <w:rStyle w:val="FootnoteReference"/>
        </w:rPr>
        <w:footnoteRef/>
      </w:r>
      <w:r>
        <w:t xml:space="preserve"> </w:t>
      </w:r>
      <w:r w:rsidRPr="005003BE">
        <w:rPr>
          <w:rFonts w:ascii="Times New Roman" w:hAnsi="Times New Roman" w:cs="Times New Roman"/>
          <w:sz w:val="20"/>
          <w:szCs w:val="20"/>
        </w:rPr>
        <w:t xml:space="preserve">(CTH) </w:t>
      </w:r>
      <w:r w:rsidRPr="005003BE">
        <w:rPr>
          <w:rFonts w:ascii="Times New Roman" w:hAnsi="Times New Roman" w:cs="Times New Roman"/>
          <w:i/>
          <w:sz w:val="20"/>
          <w:szCs w:val="20"/>
        </w:rPr>
        <w:t>Higher Education Support Act 2003</w:t>
      </w:r>
      <w:r w:rsidRPr="005003BE">
        <w:rPr>
          <w:rFonts w:ascii="Times New Roman" w:hAnsi="Times New Roman" w:cs="Times New Roman"/>
          <w:sz w:val="20"/>
          <w:szCs w:val="20"/>
        </w:rPr>
        <w:t xml:space="preserve"> s 16.1 defines 'higher education provider'.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footnote>
  <w:footnote w:id="58">
    <w:p w:rsidR="00EE7839" w:rsidRPr="00390850" w:rsidRDefault="00EE7839">
      <w:pPr>
        <w:pStyle w:val="FootnoteText"/>
        <w:rPr>
          <w:rFonts w:ascii="Times New Roman" w:hAnsi="Times New Roman" w:cs="Times New Roman"/>
        </w:rPr>
      </w:pPr>
      <w:r w:rsidRPr="00390850">
        <w:rPr>
          <w:rStyle w:val="FootnoteReference"/>
        </w:rPr>
        <w:footnoteRef/>
      </w:r>
      <w:r w:rsidRPr="00390850">
        <w:rPr>
          <w:rFonts w:ascii="Times New Roman" w:hAnsi="Times New Roman" w:cs="Times New Roman"/>
        </w:rPr>
        <w:t xml:space="preserve"> As outlined above.</w:t>
      </w:r>
    </w:p>
  </w:footnote>
  <w:footnote w:id="59">
    <w:p w:rsidR="00EE7839" w:rsidRPr="005003BE" w:rsidRDefault="00EE7839" w:rsidP="0036339D">
      <w:pPr>
        <w:outlineLvl w:val="0"/>
        <w:rPr>
          <w:rFonts w:ascii="Times New Roman" w:hAnsi="Times New Roman" w:cs="Times New Roman"/>
          <w:sz w:val="20"/>
          <w:szCs w:val="20"/>
        </w:rPr>
      </w:pPr>
      <w:r w:rsidRPr="005003BE">
        <w:rPr>
          <w:rStyle w:val="FootnoteReference"/>
          <w:sz w:val="20"/>
          <w:szCs w:val="20"/>
        </w:rPr>
        <w:footnoteRef/>
      </w:r>
      <w:r w:rsidRPr="005003BE">
        <w:rPr>
          <w:sz w:val="20"/>
          <w:szCs w:val="20"/>
        </w:rPr>
        <w:t xml:space="preserve"> </w:t>
      </w:r>
      <w:r w:rsidRPr="005003BE">
        <w:rPr>
          <w:rFonts w:ascii="Times New Roman" w:hAnsi="Times New Roman" w:cs="Times New Roman"/>
          <w:sz w:val="20"/>
          <w:szCs w:val="20"/>
        </w:rPr>
        <w:t xml:space="preserve">(CTH) </w:t>
      </w:r>
      <w:r w:rsidRPr="005003BE">
        <w:rPr>
          <w:rFonts w:ascii="Times New Roman" w:hAnsi="Times New Roman" w:cs="Times New Roman"/>
          <w:i/>
          <w:sz w:val="20"/>
          <w:szCs w:val="20"/>
        </w:rPr>
        <w:t>Higher Education Support Act 2003</w:t>
      </w:r>
      <w:r w:rsidRPr="005003BE">
        <w:rPr>
          <w:rFonts w:ascii="Times New Roman" w:hAnsi="Times New Roman" w:cs="Times New Roman"/>
          <w:sz w:val="20"/>
          <w:szCs w:val="20"/>
        </w:rPr>
        <w:t xml:space="preserve"> Pt 2-2.</w:t>
      </w:r>
    </w:p>
  </w:footnote>
  <w:footnote w:id="60">
    <w:p w:rsidR="00EE7839" w:rsidRPr="00164DEA" w:rsidRDefault="00EE7839" w:rsidP="005D29B2">
      <w:pPr>
        <w:pStyle w:val="FootnoteText"/>
      </w:pPr>
      <w:r w:rsidRPr="000E0E74">
        <w:rPr>
          <w:rStyle w:val="FootnoteReference"/>
        </w:rPr>
        <w:footnoteRef/>
      </w:r>
      <w:r w:rsidRPr="000E0E74">
        <w:rPr>
          <w:rFonts w:ascii="Times New Roman" w:hAnsi="Times New Roman" w:cs="Times New Roman"/>
        </w:rPr>
        <w:t xml:space="preserve"> The amendments are incorporated as Part 2.2,</w:t>
      </w:r>
      <w:r>
        <w:rPr>
          <w:rFonts w:ascii="Times New Roman" w:hAnsi="Times New Roman" w:cs="Times New Roman"/>
        </w:rPr>
        <w:t xml:space="preserve"> (CTH) </w:t>
      </w:r>
      <w:r w:rsidRPr="00D42A98">
        <w:rPr>
          <w:rFonts w:ascii="Times New Roman" w:hAnsi="Times New Roman" w:cs="Times New Roman"/>
          <w:i/>
        </w:rPr>
        <w:t>Higher Education Support Act 2003</w:t>
      </w:r>
      <w:r>
        <w:rPr>
          <w:rFonts w:ascii="Times New Roman" w:hAnsi="Times New Roman" w:cs="Times New Roman"/>
        </w:rPr>
        <w:t xml:space="preserve">. </w:t>
      </w:r>
    </w:p>
  </w:footnote>
  <w:footnote w:id="61">
    <w:p w:rsidR="00EE7839" w:rsidRPr="00CF098E" w:rsidRDefault="00EE7839" w:rsidP="00CF098E">
      <w:pPr>
        <w:spacing w:line="240" w:lineRule="auto"/>
        <w:rPr>
          <w:rFonts w:ascii="Times New Roman" w:hAnsi="Times New Roman" w:cs="Times New Roman"/>
          <w:sz w:val="20"/>
          <w:szCs w:val="20"/>
        </w:rPr>
      </w:pPr>
      <w:r>
        <w:rPr>
          <w:rStyle w:val="FootnoteReference"/>
        </w:rPr>
        <w:footnoteRef/>
      </w:r>
      <w:r>
        <w:t xml:space="preserve"> </w:t>
      </w:r>
      <w:r w:rsidRPr="00CF098E">
        <w:rPr>
          <w:rFonts w:ascii="Times New Roman" w:hAnsi="Times New Roman" w:cs="Times New Roman"/>
          <w:sz w:val="20"/>
          <w:szCs w:val="20"/>
        </w:rPr>
        <w:t xml:space="preserve">From January 2012, all higher education institutions who receive government funding are required to be registered with the Tertiary Education Quality and Standards Agency </w:t>
      </w:r>
      <w:r>
        <w:rPr>
          <w:rFonts w:ascii="Times New Roman" w:hAnsi="Times New Roman" w:cs="Times New Roman"/>
          <w:sz w:val="20"/>
          <w:szCs w:val="20"/>
        </w:rPr>
        <w:t>(TEQSA) (discussed above).</w:t>
      </w:r>
    </w:p>
  </w:footnote>
  <w:footnote w:id="62">
    <w:p w:rsidR="00EE7839" w:rsidRPr="00AF4D6D" w:rsidRDefault="00EE7839">
      <w:pPr>
        <w:pStyle w:val="FootnoteText"/>
        <w:rPr>
          <w:rFonts w:ascii="Times New Roman" w:hAnsi="Times New Roman" w:cs="Times New Roman"/>
        </w:rPr>
      </w:pPr>
      <w:r w:rsidRPr="00AF4D6D">
        <w:rPr>
          <w:rStyle w:val="FootnoteReference"/>
        </w:rPr>
        <w:footnoteRef/>
      </w:r>
      <w:r w:rsidRPr="00AF4D6D">
        <w:rPr>
          <w:rFonts w:ascii="Times New Roman" w:hAnsi="Times New Roman" w:cs="Times New Roman"/>
        </w:rPr>
        <w:t xml:space="preserve"> </w:t>
      </w:r>
      <w:r>
        <w:rPr>
          <w:rFonts w:ascii="Times New Roman" w:hAnsi="Times New Roman" w:cs="Times New Roman"/>
        </w:rPr>
        <w:t>The ability to charge this fee was r</w:t>
      </w:r>
      <w:r w:rsidRPr="00AF4D6D">
        <w:rPr>
          <w:rFonts w:ascii="Times New Roman" w:hAnsi="Times New Roman" w:cs="Times New Roman"/>
        </w:rPr>
        <w:t>emoved earlier by the Howard government with a polic</w:t>
      </w:r>
      <w:r>
        <w:rPr>
          <w:rFonts w:ascii="Times New Roman" w:hAnsi="Times New Roman" w:cs="Times New Roman"/>
        </w:rPr>
        <w:t>y of Voluntary Student Unionism.  The latter remains unchanged.</w:t>
      </w:r>
    </w:p>
  </w:footnote>
  <w:footnote w:id="63">
    <w:p w:rsidR="00EE7839" w:rsidRPr="00B950D9" w:rsidRDefault="00EE7839" w:rsidP="00B950D9">
      <w:pPr>
        <w:pStyle w:val="NormalWeb"/>
        <w:rPr>
          <w:sz w:val="20"/>
          <w:szCs w:val="20"/>
        </w:rPr>
      </w:pPr>
      <w:r w:rsidRPr="00B950D9">
        <w:rPr>
          <w:rStyle w:val="FootnoteReference"/>
          <w:sz w:val="20"/>
          <w:szCs w:val="20"/>
        </w:rPr>
        <w:footnoteRef/>
      </w:r>
      <w:r w:rsidRPr="00B950D9">
        <w:rPr>
          <w:sz w:val="20"/>
          <w:szCs w:val="20"/>
        </w:rPr>
        <w:t xml:space="preserve"> (CTH) Higher Education Support Act 2003 ss19.37, 19.38.  Although it should be noted that this legislation goes some way to ameliorating the effect of the Voluntary Student Unionism (VSU) rules brought in by the previous coalition government in 2006, it does not reverse it.  VSU took away the right for student unions to collect a mandatory fee to pay for campus activities, including political campaigns by student activists.</w:t>
      </w:r>
    </w:p>
  </w:footnote>
  <w:footnote w:id="64">
    <w:p w:rsidR="00EE7839" w:rsidRPr="001B58BE" w:rsidRDefault="00EE7839">
      <w:pPr>
        <w:pStyle w:val="FootnoteText"/>
        <w:rPr>
          <w:rFonts w:ascii="Times New Roman" w:hAnsi="Times New Roman" w:cs="Times New Roman"/>
        </w:rPr>
      </w:pPr>
      <w:r w:rsidRPr="001B58BE">
        <w:rPr>
          <w:rStyle w:val="FootnoteReference"/>
        </w:rPr>
        <w:footnoteRef/>
      </w:r>
      <w:r>
        <w:rPr>
          <w:rFonts w:ascii="Times New Roman" w:hAnsi="Times New Roman" w:cs="Times New Roman"/>
        </w:rPr>
        <w:t xml:space="preserve"> U</w:t>
      </w:r>
      <w:r w:rsidRPr="001B58BE">
        <w:rPr>
          <w:rFonts w:ascii="Times New Roman" w:hAnsi="Times New Roman" w:cs="Times New Roman"/>
        </w:rPr>
        <w:t>niversities determine admission to their courses based on Australian Tertiary Admission Ranks (ATARs) which are based on a student’s performance in Higher School Certificate (HSC) in years 11 and 12.</w:t>
      </w:r>
    </w:p>
  </w:footnote>
  <w:footnote w:id="65">
    <w:p w:rsidR="00EE7839" w:rsidRPr="001B58BE" w:rsidRDefault="00EE7839">
      <w:pPr>
        <w:pStyle w:val="FootnoteText"/>
        <w:rPr>
          <w:rFonts w:ascii="Times New Roman" w:hAnsi="Times New Roman" w:cs="Times New Roman"/>
        </w:rPr>
      </w:pPr>
      <w:r w:rsidRPr="001B58BE">
        <w:rPr>
          <w:rStyle w:val="FootnoteReference"/>
        </w:rPr>
        <w:footnoteRef/>
      </w:r>
      <w:r w:rsidRPr="001B58BE">
        <w:rPr>
          <w:rFonts w:ascii="Times New Roman" w:hAnsi="Times New Roman" w:cs="Times New Roman"/>
        </w:rPr>
        <w:t xml:space="preserve"> Made up of the ‘older’ universities: University of Sydney, the University of Melbourne, Monash University, the University of New South Wales, the University of Queensland, the University of Adelaide, the University of Western Australia and the Australian National University.</w:t>
      </w:r>
    </w:p>
  </w:footnote>
  <w:footnote w:id="66">
    <w:p w:rsidR="00EE7839" w:rsidRPr="001B58BE" w:rsidRDefault="00EE7839">
      <w:pPr>
        <w:pStyle w:val="FootnoteText"/>
        <w:rPr>
          <w:rFonts w:ascii="Times New Roman" w:hAnsi="Times New Roman" w:cs="Times New Roman"/>
        </w:rPr>
      </w:pPr>
      <w:r w:rsidRPr="001B58BE">
        <w:rPr>
          <w:rStyle w:val="FootnoteReference"/>
        </w:rPr>
        <w:footnoteRef/>
      </w:r>
      <w:r w:rsidRPr="001B58BE">
        <w:rPr>
          <w:rFonts w:ascii="Times New Roman" w:hAnsi="Times New Roman" w:cs="Times New Roman"/>
        </w:rPr>
        <w:t xml:space="preserve"> Group of Eight</w:t>
      </w:r>
      <w:r>
        <w:rPr>
          <w:rFonts w:ascii="Times New Roman" w:hAnsi="Times New Roman" w:cs="Times New Roman"/>
        </w:rPr>
        <w:t xml:space="preserve"> (GO8)</w:t>
      </w:r>
      <w:r w:rsidRPr="001B58BE">
        <w:rPr>
          <w:rFonts w:ascii="Times New Roman" w:hAnsi="Times New Roman" w:cs="Times New Roman"/>
        </w:rPr>
        <w:t>, ‘University Admissions (Policy Note No 3, Group of Eight, February 2012),5.  Accessed</w:t>
      </w:r>
      <w:r>
        <w:rPr>
          <w:rFonts w:ascii="Times New Roman" w:hAnsi="Times New Roman" w:cs="Times New Roman"/>
        </w:rPr>
        <w:t xml:space="preserve"> at</w:t>
      </w:r>
      <w:r>
        <w:rPr>
          <w:rFonts w:ascii="Times New Roman" w:hAnsi="Times New Roman" w:cs="Times New Roman"/>
        </w:rPr>
        <w:tab/>
      </w:r>
      <w:r>
        <w:rPr>
          <w:rFonts w:ascii="Times New Roman" w:hAnsi="Times New Roman" w:cs="Times New Roman"/>
        </w:rPr>
        <w:tab/>
      </w:r>
      <w:r w:rsidRPr="001B58BE">
        <w:rPr>
          <w:rFonts w:ascii="Times New Roman" w:hAnsi="Times New Roman" w:cs="Times New Roman"/>
        </w:rPr>
        <w:t xml:space="preserve"> </w:t>
      </w:r>
      <w:hyperlink r:id="rId12" w:history="1">
        <w:r w:rsidRPr="001B58BE">
          <w:rPr>
            <w:rStyle w:val="Hyperlink"/>
          </w:rPr>
          <w:t>http://go8.edu.au/_documents/go8-policy-analysis/2012/go8policynote3_universityadmissions.pdf</w:t>
        </w:r>
      </w:hyperlink>
      <w:r w:rsidRPr="001B58BE">
        <w:rPr>
          <w:rFonts w:ascii="Times New Roman" w:hAnsi="Times New Roman" w:cs="Times New Roman"/>
        </w:rPr>
        <w:t xml:space="preserve">.  </w:t>
      </w:r>
    </w:p>
  </w:footnote>
  <w:footnote w:id="67">
    <w:p w:rsidR="00EE7839" w:rsidRDefault="00EE7839">
      <w:pPr>
        <w:pStyle w:val="FootnoteText"/>
      </w:pPr>
      <w:r>
        <w:rPr>
          <w:rStyle w:val="FootnoteReference"/>
        </w:rPr>
        <w:footnoteRef/>
      </w:r>
      <w:r>
        <w:t xml:space="preserve"> </w:t>
      </w:r>
      <w:r>
        <w:rPr>
          <w:rFonts w:ascii="Times New Roman" w:hAnsi="Times New Roman" w:cs="Times New Roman"/>
        </w:rPr>
        <w:t xml:space="preserve">Note </w:t>
      </w:r>
      <w:r w:rsidRPr="00D42A98">
        <w:rPr>
          <w:rFonts w:ascii="Times New Roman" w:hAnsi="Times New Roman" w:cs="Times New Roman"/>
          <w:i/>
        </w:rPr>
        <w:t>Austra</w:t>
      </w:r>
      <w:r>
        <w:rPr>
          <w:rFonts w:ascii="Times New Roman" w:hAnsi="Times New Roman" w:cs="Times New Roman"/>
          <w:i/>
        </w:rPr>
        <w:t xml:space="preserve">lian Higher Education, </w:t>
      </w:r>
      <w:r>
        <w:rPr>
          <w:rFonts w:ascii="Times New Roman" w:hAnsi="Times New Roman" w:cs="Times New Roman"/>
        </w:rPr>
        <w:t xml:space="preserve"> 4 July 2012 </w:t>
      </w:r>
      <w:r w:rsidRPr="00D42A98">
        <w:rPr>
          <w:rFonts w:ascii="Times New Roman" w:hAnsi="Times New Roman" w:cs="Times New Roman"/>
          <w:i/>
        </w:rPr>
        <w:t>“Minister rejects talk of plan to limit students”</w:t>
      </w:r>
      <w:r>
        <w:rPr>
          <w:rFonts w:ascii="Times New Roman" w:hAnsi="Times New Roman" w:cs="Times New Roman"/>
        </w:rPr>
        <w:t xml:space="preserve"> , the Minister’s response to much discussion of the over-spending of the government’s budget.  See also </w:t>
      </w:r>
      <w:r>
        <w:rPr>
          <w:rFonts w:ascii="Times New Roman" w:hAnsi="Times New Roman" w:cs="Times New Roman"/>
          <w:i/>
        </w:rPr>
        <w:t xml:space="preserve">“Private Providers Share in Cream: relaxation of over-enrolment buffer for universities a bonanza for sector” The Australian Higher Education  </w:t>
      </w:r>
      <w:r>
        <w:rPr>
          <w:rFonts w:ascii="Times New Roman" w:hAnsi="Times New Roman" w:cs="Times New Roman"/>
        </w:rPr>
        <w:t>25 July 2012, which reports an unintended result in that many students are attracted to private providers and away from public university courses with larger enrolments.</w:t>
      </w:r>
    </w:p>
  </w:footnote>
  <w:footnote w:id="68">
    <w:p w:rsidR="00EE7839" w:rsidRPr="0067455C" w:rsidRDefault="00EE7839" w:rsidP="00904AC3">
      <w:pPr>
        <w:pStyle w:val="FootnoteText"/>
      </w:pPr>
      <w:r>
        <w:rPr>
          <w:rStyle w:val="FootnoteReference"/>
        </w:rPr>
        <w:footnoteRef/>
      </w:r>
      <w:r>
        <w:t xml:space="preserve"> </w:t>
      </w:r>
      <w:r w:rsidRPr="00B6620A">
        <w:rPr>
          <w:rFonts w:ascii="Times New Roman" w:hAnsi="Times New Roman" w:cs="Times New Roman"/>
          <w:sz w:val="24"/>
          <w:szCs w:val="24"/>
        </w:rPr>
        <w:t xml:space="preserve"> </w:t>
      </w:r>
      <w:r w:rsidRPr="0067455C">
        <w:rPr>
          <w:rFonts w:ascii="Times New Roman" w:hAnsi="Times New Roman" w:cs="Times New Roman"/>
        </w:rPr>
        <w:t xml:space="preserve">(CTH) </w:t>
      </w:r>
      <w:r w:rsidRPr="0067455C">
        <w:rPr>
          <w:rFonts w:ascii="Times New Roman" w:hAnsi="Times New Roman" w:cs="Times New Roman"/>
          <w:i/>
        </w:rPr>
        <w:t>Australian Institute of Aboriginal and Torres Strait Islander Studies Act 1989</w:t>
      </w:r>
      <w:r w:rsidRPr="0067455C">
        <w:rPr>
          <w:rFonts w:ascii="Times New Roman" w:hAnsi="Times New Roman" w:cs="Times New Roman"/>
        </w:rPr>
        <w:t xml:space="preserve"> s 4</w:t>
      </w:r>
      <w:r w:rsidRPr="0067455C">
        <w:t xml:space="preserve"> </w:t>
      </w:r>
    </w:p>
  </w:footnote>
  <w:footnote w:id="69">
    <w:p w:rsidR="00EE7839" w:rsidRPr="0067455C" w:rsidRDefault="00EE7839" w:rsidP="00904AC3">
      <w:pPr>
        <w:pStyle w:val="FootnoteText"/>
      </w:pPr>
      <w:r w:rsidRPr="0067455C">
        <w:rPr>
          <w:rStyle w:val="FootnoteReference"/>
        </w:rPr>
        <w:footnoteRef/>
      </w:r>
      <w:r w:rsidRPr="0067455C">
        <w:t xml:space="preserve">  </w:t>
      </w:r>
      <w:r w:rsidRPr="0067455C">
        <w:rPr>
          <w:rFonts w:ascii="Times New Roman" w:hAnsi="Times New Roman" w:cs="Times New Roman"/>
        </w:rPr>
        <w:t xml:space="preserve">(CTH) </w:t>
      </w:r>
      <w:r w:rsidRPr="0067455C">
        <w:rPr>
          <w:rFonts w:ascii="Times New Roman" w:hAnsi="Times New Roman" w:cs="Times New Roman"/>
          <w:i/>
        </w:rPr>
        <w:t>Indigenous Education (Targeted Assistance) Act 2000</w:t>
      </w:r>
      <w:r w:rsidRPr="0067455C">
        <w:rPr>
          <w:rFonts w:ascii="Times New Roman" w:hAnsi="Times New Roman" w:cs="Times New Roman"/>
        </w:rPr>
        <w:t xml:space="preserve"> s 3.</w:t>
      </w:r>
    </w:p>
  </w:footnote>
  <w:footnote w:id="70">
    <w:p w:rsidR="00EE7839" w:rsidRPr="005916DC" w:rsidRDefault="00EE7839" w:rsidP="005916DC">
      <w:pPr>
        <w:rPr>
          <w:rFonts w:ascii="Times New Roman" w:hAnsi="Times New Roman" w:cs="Times New Roman"/>
          <w:sz w:val="20"/>
          <w:szCs w:val="20"/>
        </w:rPr>
      </w:pPr>
      <w:r w:rsidRPr="0067455C">
        <w:rPr>
          <w:rStyle w:val="FootnoteReference"/>
          <w:sz w:val="20"/>
          <w:szCs w:val="20"/>
        </w:rPr>
        <w:footnoteRef/>
      </w:r>
      <w:r w:rsidRPr="0067455C">
        <w:rPr>
          <w:sz w:val="20"/>
          <w:szCs w:val="20"/>
        </w:rPr>
        <w:t>     </w:t>
      </w:r>
      <w:proofErr w:type="spellStart"/>
      <w:r w:rsidRPr="005916DC">
        <w:rPr>
          <w:rFonts w:ascii="Times New Roman" w:hAnsi="Times New Roman" w:cs="Times New Roman"/>
          <w:sz w:val="20"/>
          <w:szCs w:val="20"/>
        </w:rPr>
        <w:t>Acessed</w:t>
      </w:r>
      <w:proofErr w:type="spellEnd"/>
      <w:r w:rsidRPr="005916DC">
        <w:rPr>
          <w:rFonts w:ascii="Times New Roman" w:hAnsi="Times New Roman" w:cs="Times New Roman"/>
          <w:sz w:val="20"/>
          <w:szCs w:val="20"/>
        </w:rPr>
        <w:t xml:space="preserve"> at </w:t>
      </w:r>
      <w:hyperlink r:id="rId13" w:history="1">
        <w:r w:rsidRPr="0067455C">
          <w:rPr>
            <w:rStyle w:val="Hyperlink"/>
            <w:sz w:val="20"/>
            <w:szCs w:val="20"/>
          </w:rPr>
          <w:t>http://www.dest.gov.au/sectors/indigenous_education</w:t>
        </w:r>
      </w:hyperlink>
      <w:r>
        <w:rPr>
          <w:rFonts w:ascii="Times New Roman" w:hAnsi="Times New Roman" w:cs="Times New Roman"/>
          <w:sz w:val="20"/>
          <w:szCs w:val="20"/>
        </w:rPr>
        <w:t xml:space="preserve"> .</w:t>
      </w:r>
    </w:p>
  </w:footnote>
  <w:footnote w:id="71">
    <w:p w:rsidR="00EE7839" w:rsidRPr="008A5D13" w:rsidRDefault="00EE7839" w:rsidP="00904AC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w:t>
      </w:r>
      <w:r w:rsidRPr="008A5D13">
        <w:rPr>
          <w:rFonts w:ascii="Times New Roman" w:hAnsi="Times New Roman" w:cs="Times New Roman"/>
        </w:rPr>
        <w:t xml:space="preserve">CTH) </w:t>
      </w:r>
      <w:r w:rsidRPr="008A5D13">
        <w:rPr>
          <w:rFonts w:ascii="Times New Roman" w:hAnsi="Times New Roman" w:cs="Times New Roman"/>
          <w:i/>
        </w:rPr>
        <w:t>Indigenous Education (Targeted Assistance) Act 2000</w:t>
      </w:r>
      <w:r w:rsidRPr="008A5D13">
        <w:rPr>
          <w:rFonts w:ascii="Times New Roman" w:hAnsi="Times New Roman" w:cs="Times New Roman"/>
        </w:rPr>
        <w:t xml:space="preserve"> </w:t>
      </w:r>
      <w:proofErr w:type="spellStart"/>
      <w:r w:rsidRPr="008A5D13">
        <w:rPr>
          <w:rFonts w:ascii="Times New Roman" w:hAnsi="Times New Roman" w:cs="Times New Roman"/>
        </w:rPr>
        <w:t>ss</w:t>
      </w:r>
      <w:proofErr w:type="spellEnd"/>
      <w:r w:rsidRPr="008A5D13">
        <w:rPr>
          <w:rFonts w:ascii="Times New Roman" w:hAnsi="Times New Roman" w:cs="Times New Roman"/>
        </w:rPr>
        <w:t xml:space="preserve"> 10-11.</w:t>
      </w:r>
    </w:p>
  </w:footnote>
  <w:footnote w:id="72">
    <w:p w:rsidR="00EE7839" w:rsidRPr="008A5D13" w:rsidRDefault="00EE7839" w:rsidP="00904AC3">
      <w:pPr>
        <w:pStyle w:val="FootnoteText"/>
        <w:rPr>
          <w:rFonts w:ascii="Times New Roman" w:hAnsi="Times New Roman" w:cs="Times New Roman"/>
        </w:rPr>
      </w:pPr>
      <w:r w:rsidRPr="008A5D13">
        <w:rPr>
          <w:rStyle w:val="FootnoteReference"/>
        </w:rPr>
        <w:footnoteRef/>
      </w:r>
      <w:r w:rsidRPr="008A5D13">
        <w:rPr>
          <w:rFonts w:ascii="Times New Roman" w:hAnsi="Times New Roman" w:cs="Times New Roman"/>
        </w:rPr>
        <w:t xml:space="preserve"> </w:t>
      </w:r>
      <w:r>
        <w:rPr>
          <w:rFonts w:ascii="Times New Roman" w:hAnsi="Times New Roman" w:cs="Times New Roman"/>
        </w:rPr>
        <w:t xml:space="preserve"> </w:t>
      </w:r>
      <w:r w:rsidRPr="008A5D13">
        <w:rPr>
          <w:rFonts w:ascii="Times New Roman" w:hAnsi="Times New Roman" w:cs="Times New Roman"/>
        </w:rPr>
        <w:t xml:space="preserve">(CTH) </w:t>
      </w:r>
      <w:r w:rsidRPr="008A5D13">
        <w:rPr>
          <w:rFonts w:ascii="Times New Roman" w:hAnsi="Times New Roman" w:cs="Times New Roman"/>
          <w:i/>
        </w:rPr>
        <w:t>Indigenous Education (Targeted Assistance) Act 2000</w:t>
      </w:r>
      <w:r w:rsidRPr="008A5D13">
        <w:rPr>
          <w:rFonts w:ascii="Times New Roman" w:hAnsi="Times New Roman" w:cs="Times New Roman"/>
          <w:sz w:val="24"/>
          <w:szCs w:val="24"/>
        </w:rPr>
        <w:t xml:space="preserve"> </w:t>
      </w:r>
      <w:proofErr w:type="spellStart"/>
      <w:r w:rsidRPr="008A5D13">
        <w:rPr>
          <w:rFonts w:ascii="Times New Roman" w:hAnsi="Times New Roman" w:cs="Times New Roman"/>
        </w:rPr>
        <w:t>ss</w:t>
      </w:r>
      <w:proofErr w:type="spellEnd"/>
      <w:r w:rsidRPr="008A5D13">
        <w:rPr>
          <w:rFonts w:ascii="Times New Roman" w:hAnsi="Times New Roman" w:cs="Times New Roman"/>
        </w:rPr>
        <w:t xml:space="preserve"> 13-15</w:t>
      </w:r>
      <w:r w:rsidRPr="00B6620A">
        <w:rPr>
          <w:rFonts w:ascii="Times New Roman" w:hAnsi="Times New Roman" w:cs="Times New Roman"/>
          <w:sz w:val="24"/>
          <w:szCs w:val="24"/>
        </w:rPr>
        <w:t>.</w:t>
      </w:r>
    </w:p>
  </w:footnote>
  <w:footnote w:id="73">
    <w:p w:rsidR="00EE7839" w:rsidRPr="006E2530" w:rsidRDefault="00EE7839" w:rsidP="009B3EB1">
      <w:pPr>
        <w:pStyle w:val="FootnoteText"/>
        <w:rPr>
          <w:rFonts w:ascii="Times New Roman" w:hAnsi="Times New Roman" w:cs="Times New Roman"/>
        </w:rPr>
      </w:pPr>
      <w:r w:rsidRPr="006E2530">
        <w:rPr>
          <w:rStyle w:val="FootnoteReference"/>
        </w:rPr>
        <w:footnoteRef/>
      </w:r>
      <w:r w:rsidRPr="006E2530">
        <w:rPr>
          <w:rFonts w:ascii="Times New Roman" w:hAnsi="Times New Roman" w:cs="Times New Roman"/>
        </w:rPr>
        <w:t xml:space="preserve"> Chapter 1,</w:t>
      </w:r>
      <w:r w:rsidRPr="006E2530">
        <w:rPr>
          <w:rFonts w:ascii="Times New Roman" w:hAnsi="Times New Roman" w:cs="Times New Roman"/>
          <w:i/>
          <w:color w:val="000000"/>
        </w:rPr>
        <w:t>Other Grants Guidelines (Research) 2010.</w:t>
      </w:r>
    </w:p>
  </w:footnote>
  <w:footnote w:id="74">
    <w:p w:rsidR="00EE7839" w:rsidRPr="006E2530" w:rsidRDefault="00EE7839" w:rsidP="009B3EB1">
      <w:pPr>
        <w:pStyle w:val="FootnoteText"/>
        <w:rPr>
          <w:rFonts w:ascii="Times New Roman" w:hAnsi="Times New Roman" w:cs="Times New Roman"/>
        </w:rPr>
      </w:pPr>
      <w:r w:rsidRPr="006E2530">
        <w:rPr>
          <w:rStyle w:val="FootnoteReference"/>
        </w:rPr>
        <w:footnoteRef/>
      </w:r>
      <w:r w:rsidRPr="006E2530">
        <w:rPr>
          <w:rFonts w:ascii="Times New Roman" w:hAnsi="Times New Roman" w:cs="Times New Roman"/>
        </w:rPr>
        <w:t xml:space="preserve"> Chapter 2,</w:t>
      </w:r>
      <w:r w:rsidRPr="006E2530">
        <w:rPr>
          <w:rFonts w:ascii="Times New Roman" w:hAnsi="Times New Roman" w:cs="Times New Roman"/>
          <w:i/>
          <w:color w:val="000000"/>
        </w:rPr>
        <w:t>Other Grants Guidelines (Research) 2010.</w:t>
      </w:r>
    </w:p>
  </w:footnote>
  <w:footnote w:id="75">
    <w:p w:rsidR="00EE7839" w:rsidRPr="00327890" w:rsidRDefault="00EE7839">
      <w:pPr>
        <w:pStyle w:val="FootnoteText"/>
        <w:rPr>
          <w:rFonts w:ascii="Times New Roman" w:hAnsi="Times New Roman" w:cs="Times New Roman"/>
          <w:i/>
        </w:rPr>
      </w:pPr>
      <w:r w:rsidRPr="00327890">
        <w:rPr>
          <w:rStyle w:val="FootnoteReference"/>
        </w:rPr>
        <w:footnoteRef/>
      </w:r>
      <w:r w:rsidRPr="00327890">
        <w:rPr>
          <w:rFonts w:ascii="Times New Roman" w:hAnsi="Times New Roman" w:cs="Times New Roman"/>
        </w:rPr>
        <w:t xml:space="preserve"> For a full discussion of the factors surrounding the suspected government agenda, see </w:t>
      </w:r>
      <w:r w:rsidRPr="00327890">
        <w:rPr>
          <w:rFonts w:ascii="Times New Roman" w:hAnsi="Times New Roman" w:cs="Times New Roman"/>
          <w:i/>
        </w:rPr>
        <w:t xml:space="preserve">“Defining Quality for Research Training in Australia: A Consultation Paper” </w:t>
      </w:r>
      <w:r w:rsidRPr="00327890">
        <w:rPr>
          <w:rFonts w:ascii="Times New Roman" w:hAnsi="Times New Roman" w:cs="Times New Roman"/>
        </w:rPr>
        <w:t xml:space="preserve">Australian Government, </w:t>
      </w:r>
      <w:r w:rsidRPr="00327890">
        <w:rPr>
          <w:rFonts w:ascii="Times New Roman" w:hAnsi="Times New Roman" w:cs="Times New Roman"/>
          <w:i/>
        </w:rPr>
        <w:t>October 2011.</w:t>
      </w:r>
    </w:p>
  </w:footnote>
  <w:footnote w:id="76">
    <w:p w:rsidR="00EE7839" w:rsidRPr="006926F6" w:rsidRDefault="00EE7839" w:rsidP="00731F04">
      <w:pPr>
        <w:pStyle w:val="FootnoteText"/>
        <w:rPr>
          <w:rFonts w:ascii="Times New Roman" w:hAnsi="Times New Roman" w:cs="Times New Roman"/>
        </w:rPr>
      </w:pPr>
      <w:r>
        <w:rPr>
          <w:rStyle w:val="FootnoteReference"/>
        </w:rPr>
        <w:footnoteRef/>
      </w:r>
      <w:r>
        <w:t xml:space="preserve"> </w:t>
      </w:r>
      <w:r w:rsidRPr="006926F6">
        <w:rPr>
          <w:rFonts w:ascii="Times New Roman" w:hAnsi="Times New Roman" w:cs="Times New Roman"/>
        </w:rPr>
        <w:t>Lawson C (2012), Student Voices: Enhancing the experience of international students in Australia, Australian Education International, June.</w:t>
      </w:r>
      <w:r>
        <w:rPr>
          <w:rFonts w:ascii="Times New Roman" w:hAnsi="Times New Roman" w:cs="Times New Roman"/>
        </w:rPr>
        <w:t xml:space="preserve">  Accessed at </w:t>
      </w:r>
      <w:r w:rsidRPr="006926F6">
        <w:rPr>
          <w:rFonts w:ascii="Times New Roman" w:hAnsi="Times New Roman" w:cs="Times New Roman"/>
        </w:rPr>
        <w:t>https://aei.gov.au/research/Publications/Documents/Student%20voices%20-%20FINAL.pdf</w:t>
      </w:r>
      <w:r>
        <w:rPr>
          <w:rFonts w:ascii="Times New Roman" w:hAnsi="Times New Roman" w:cs="Times New Roman"/>
        </w:rPr>
        <w:t>.</w:t>
      </w:r>
    </w:p>
  </w:footnote>
  <w:footnote w:id="77">
    <w:p w:rsidR="00EE7839" w:rsidRPr="002926E0" w:rsidRDefault="00EE7839">
      <w:pPr>
        <w:pStyle w:val="FootnoteText"/>
        <w:rPr>
          <w:rFonts w:ascii="Times New Roman" w:hAnsi="Times New Roman" w:cs="Times New Roman"/>
        </w:rPr>
      </w:pPr>
      <w:r w:rsidRPr="002926E0">
        <w:rPr>
          <w:rStyle w:val="FootnoteReference"/>
        </w:rPr>
        <w:footnoteRef/>
      </w:r>
      <w:r w:rsidRPr="002926E0">
        <w:rPr>
          <w:rFonts w:ascii="Times New Roman" w:hAnsi="Times New Roman" w:cs="Times New Roman"/>
        </w:rPr>
        <w:t xml:space="preserve"> In this context, see the Report conducted by the John Curtin Institute of Public Policy for the Australian Technology Network of Universities released in 2010: </w:t>
      </w:r>
      <w:proofErr w:type="spellStart"/>
      <w:r w:rsidRPr="002926E0">
        <w:rPr>
          <w:rFonts w:ascii="Times New Roman" w:hAnsi="Times New Roman" w:cs="Times New Roman"/>
        </w:rPr>
        <w:t>Phillimore</w:t>
      </w:r>
      <w:proofErr w:type="spellEnd"/>
      <w:r w:rsidRPr="002926E0">
        <w:rPr>
          <w:rFonts w:ascii="Times New Roman" w:hAnsi="Times New Roman" w:cs="Times New Roman"/>
        </w:rPr>
        <w:t xml:space="preserve"> J and </w:t>
      </w:r>
      <w:proofErr w:type="spellStart"/>
      <w:r w:rsidRPr="002926E0">
        <w:rPr>
          <w:rFonts w:ascii="Times New Roman" w:hAnsi="Times New Roman" w:cs="Times New Roman"/>
        </w:rPr>
        <w:t>Koshy</w:t>
      </w:r>
      <w:proofErr w:type="spellEnd"/>
      <w:r w:rsidRPr="002926E0">
        <w:rPr>
          <w:rFonts w:ascii="Times New Roman" w:hAnsi="Times New Roman" w:cs="Times New Roman"/>
        </w:rPr>
        <w:t xml:space="preserve"> P</w:t>
      </w:r>
      <w:r>
        <w:rPr>
          <w:rFonts w:ascii="Times New Roman" w:hAnsi="Times New Roman" w:cs="Times New Roman"/>
        </w:rPr>
        <w:t>,</w:t>
      </w:r>
      <w:r w:rsidRPr="002926E0">
        <w:rPr>
          <w:rFonts w:ascii="Times New Roman" w:hAnsi="Times New Roman" w:cs="Times New Roman"/>
        </w:rPr>
        <w:t xml:space="preserve"> ‘</w:t>
      </w:r>
      <w:r w:rsidRPr="002926E0">
        <w:rPr>
          <w:rFonts w:ascii="Times New Roman" w:hAnsi="Times New Roman" w:cs="Times New Roman"/>
          <w:i/>
        </w:rPr>
        <w:t xml:space="preserve">The Economic Implications of Few International Education Students in Australia: Final Report’ </w:t>
      </w:r>
      <w:r w:rsidRPr="002926E0">
        <w:rPr>
          <w:rFonts w:ascii="Times New Roman" w:hAnsi="Times New Roman" w:cs="Times New Roman"/>
        </w:rPr>
        <w:t>August 2010. Also the GO8 Group of U</w:t>
      </w:r>
      <w:r>
        <w:rPr>
          <w:rFonts w:ascii="Times New Roman" w:hAnsi="Times New Roman" w:cs="Times New Roman"/>
        </w:rPr>
        <w:t>niversities Education Statement,</w:t>
      </w:r>
      <w:r w:rsidRPr="002926E0">
        <w:rPr>
          <w:rFonts w:ascii="Times New Roman" w:hAnsi="Times New Roman" w:cs="Times New Roman"/>
        </w:rPr>
        <w:t xml:space="preserve"> </w:t>
      </w:r>
      <w:r>
        <w:rPr>
          <w:rFonts w:ascii="Times New Roman" w:hAnsi="Times New Roman" w:cs="Times New Roman"/>
        </w:rPr>
        <w:t>‘</w:t>
      </w:r>
      <w:r w:rsidRPr="002926E0">
        <w:rPr>
          <w:rFonts w:ascii="Times New Roman" w:hAnsi="Times New Roman" w:cs="Times New Roman"/>
          <w:i/>
        </w:rPr>
        <w:t>The Importance of inter</w:t>
      </w:r>
      <w:r>
        <w:rPr>
          <w:rFonts w:ascii="Times New Roman" w:hAnsi="Times New Roman" w:cs="Times New Roman"/>
          <w:i/>
        </w:rPr>
        <w:t>national education for Australia’,</w:t>
      </w:r>
      <w:r w:rsidRPr="002926E0">
        <w:rPr>
          <w:rFonts w:ascii="Times New Roman" w:hAnsi="Times New Roman" w:cs="Times New Roman"/>
          <w:i/>
        </w:rPr>
        <w:t xml:space="preserve"> </w:t>
      </w:r>
      <w:r w:rsidRPr="002926E0">
        <w:rPr>
          <w:rFonts w:ascii="Times New Roman" w:hAnsi="Times New Roman" w:cs="Times New Roman"/>
        </w:rPr>
        <w:t xml:space="preserve">accessed at </w:t>
      </w:r>
      <w:hyperlink r:id="rId14" w:history="1">
        <w:r w:rsidRPr="009E0BD5">
          <w:rPr>
            <w:rStyle w:val="Hyperlink"/>
          </w:rPr>
          <w:t>http://www.go8.edu.au/university-staff/agreements/the-importance-of-international-education</w:t>
        </w:r>
      </w:hyperlink>
      <w:r w:rsidRPr="002926E0">
        <w:rPr>
          <w:rFonts w:ascii="Times New Roman" w:hAnsi="Times New Roman" w:cs="Times New Roman"/>
        </w:rPr>
        <w:t>.</w:t>
      </w:r>
      <w:r>
        <w:rPr>
          <w:rFonts w:ascii="Times New Roman" w:hAnsi="Times New Roman" w:cs="Times New Roman"/>
        </w:rPr>
        <w:t xml:space="preserve"> </w:t>
      </w:r>
    </w:p>
  </w:footnote>
  <w:footnote w:id="78">
    <w:p w:rsidR="00EE7839" w:rsidRPr="00602838" w:rsidRDefault="00EE7839" w:rsidP="00731F04">
      <w:pPr>
        <w:pStyle w:val="FootnoteText"/>
        <w:rPr>
          <w:rFonts w:ascii="Times New Roman" w:hAnsi="Times New Roman" w:cs="Times New Roman"/>
        </w:rPr>
      </w:pPr>
      <w:r w:rsidRPr="00602838">
        <w:rPr>
          <w:rStyle w:val="FootnoteReference"/>
        </w:rPr>
        <w:footnoteRef/>
      </w:r>
      <w:r w:rsidRPr="00602838">
        <w:rPr>
          <w:rFonts w:ascii="Times New Roman" w:hAnsi="Times New Roman" w:cs="Times New Roman"/>
        </w:rPr>
        <w:t xml:space="preserve"> (2011) Victorian Ombudsman</w:t>
      </w:r>
      <w:r>
        <w:rPr>
          <w:rFonts w:ascii="Times New Roman" w:hAnsi="Times New Roman" w:cs="Times New Roman"/>
        </w:rPr>
        <w:t>,</w:t>
      </w:r>
      <w:r w:rsidRPr="00602838">
        <w:rPr>
          <w:rFonts w:ascii="Times New Roman" w:hAnsi="Times New Roman" w:cs="Times New Roman"/>
        </w:rPr>
        <w:t xml:space="preserve"> </w:t>
      </w:r>
      <w:r>
        <w:rPr>
          <w:rFonts w:ascii="Times New Roman" w:hAnsi="Times New Roman" w:cs="Times New Roman"/>
        </w:rPr>
        <w:t xml:space="preserve"> ‘</w:t>
      </w:r>
      <w:r w:rsidRPr="00602838">
        <w:rPr>
          <w:rFonts w:ascii="Times New Roman" w:hAnsi="Times New Roman" w:cs="Times New Roman"/>
          <w:i/>
        </w:rPr>
        <w:t>Investigation into how universities deal with international students</w:t>
      </w:r>
      <w:r>
        <w:rPr>
          <w:rFonts w:ascii="Times New Roman" w:hAnsi="Times New Roman" w:cs="Times New Roman"/>
          <w:i/>
        </w:rPr>
        <w:t>’</w:t>
      </w:r>
      <w:r w:rsidRPr="00602838">
        <w:rPr>
          <w:rFonts w:ascii="Times New Roman" w:hAnsi="Times New Roman" w:cs="Times New Roman"/>
        </w:rPr>
        <w:t xml:space="preserve">, 71. </w:t>
      </w:r>
      <w:r>
        <w:rPr>
          <w:rFonts w:ascii="Times New Roman" w:hAnsi="Times New Roman" w:cs="Times New Roman"/>
        </w:rPr>
        <w:t xml:space="preserve"> </w:t>
      </w:r>
      <w:r w:rsidRPr="00602838">
        <w:rPr>
          <w:rFonts w:ascii="Times New Roman" w:hAnsi="Times New Roman" w:cs="Times New Roman"/>
        </w:rPr>
        <w:t xml:space="preserve">Accessed </w:t>
      </w:r>
      <w:r>
        <w:rPr>
          <w:rFonts w:ascii="Times New Roman" w:hAnsi="Times New Roman" w:cs="Times New Roman"/>
        </w:rPr>
        <w:t xml:space="preserve">at </w:t>
      </w:r>
      <w:hyperlink r:id="rId15" w:history="1">
        <w:r w:rsidRPr="00602838">
          <w:rPr>
            <w:rStyle w:val="Hyperlink"/>
          </w:rPr>
          <w:t>http://www.ombudsman.vic.gov.au</w:t>
        </w:r>
      </w:hyperlink>
      <w:r w:rsidRPr="00602838">
        <w:rPr>
          <w:rFonts w:ascii="Times New Roman" w:hAnsi="Times New Roman" w:cs="Times New Roman"/>
        </w:rPr>
        <w:t>.  It is of interest to note that both the Victorian Ombudsman and its New South Wales counterpart conducted investigations and issued reports and guidelines earlier in response to an increase in the numbers of students complaints: Ombudsman Victoria (2005)</w:t>
      </w:r>
      <w:r>
        <w:rPr>
          <w:rFonts w:ascii="Times New Roman" w:hAnsi="Times New Roman" w:cs="Times New Roman"/>
        </w:rPr>
        <w:t xml:space="preserve"> </w:t>
      </w:r>
      <w:r w:rsidRPr="00602838">
        <w:rPr>
          <w:rFonts w:ascii="Times New Roman" w:hAnsi="Times New Roman" w:cs="Times New Roman"/>
          <w:i/>
        </w:rPr>
        <w:t>Review of Complaint Handling in Australian Universities</w:t>
      </w:r>
      <w:r w:rsidRPr="00602838">
        <w:rPr>
          <w:rFonts w:ascii="Times New Roman" w:hAnsi="Times New Roman" w:cs="Times New Roman"/>
        </w:rPr>
        <w:t>, and New South Wales Ombudsman,(2006)</w:t>
      </w:r>
      <w:r>
        <w:rPr>
          <w:rFonts w:ascii="Times New Roman" w:hAnsi="Times New Roman" w:cs="Times New Roman"/>
        </w:rPr>
        <w:t xml:space="preserve"> </w:t>
      </w:r>
      <w:r w:rsidRPr="00602838">
        <w:rPr>
          <w:rFonts w:ascii="Times New Roman" w:hAnsi="Times New Roman" w:cs="Times New Roman"/>
          <w:i/>
        </w:rPr>
        <w:t>Complaint Handling at Universities: Best Practice Guidelines</w:t>
      </w:r>
      <w:r w:rsidRPr="00602838">
        <w:rPr>
          <w:rFonts w:ascii="Times New Roman" w:hAnsi="Times New Roman" w:cs="Times New Roman"/>
        </w:rPr>
        <w:t xml:space="preserve">  While these complaints were from local students also, the fact that a significant number of them were from overseas students is reflected in the recent establishment of the Overseas Student Ombudsman as a branch of the Commonwealth Ombudsman.  This office does however deal only with complaints against public sector providers.</w:t>
      </w:r>
    </w:p>
  </w:footnote>
  <w:footnote w:id="79">
    <w:p w:rsidR="00EE7839" w:rsidRDefault="00EE7839" w:rsidP="00731F04">
      <w:pPr>
        <w:pStyle w:val="FootnoteText"/>
      </w:pPr>
      <w:r>
        <w:rPr>
          <w:rStyle w:val="FootnoteReference"/>
        </w:rPr>
        <w:footnoteRef/>
      </w:r>
      <w:r>
        <w:t xml:space="preserve"> </w:t>
      </w:r>
      <w:r w:rsidRPr="009C29F1">
        <w:rPr>
          <w:rFonts w:ascii="Times New Roman" w:hAnsi="Times New Roman" w:cs="Times New Roman"/>
        </w:rPr>
        <w:t>The Commonwealth Register of Institutions and Courses for Over</w:t>
      </w:r>
      <w:r>
        <w:rPr>
          <w:rFonts w:ascii="Times New Roman" w:hAnsi="Times New Roman" w:cs="Times New Roman"/>
        </w:rPr>
        <w:t xml:space="preserve">seas Students. Accessed at </w:t>
      </w:r>
      <w:hyperlink r:id="rId16" w:history="1">
        <w:r w:rsidRPr="009C29F1">
          <w:rPr>
            <w:rStyle w:val="Hyperlink"/>
          </w:rPr>
          <w:t>www.cricos.deewr.gov.au</w:t>
        </w:r>
      </w:hyperlink>
      <w:r>
        <w:rPr>
          <w:rFonts w:ascii="Times New Roman" w:hAnsi="Times New Roman" w:cs="Times New Roman"/>
        </w:rPr>
        <w:t>.  This i</w:t>
      </w:r>
      <w:r w:rsidRPr="009C29F1">
        <w:rPr>
          <w:rFonts w:ascii="Times New Roman" w:hAnsi="Times New Roman" w:cs="Times New Roman"/>
        </w:rPr>
        <w:t>ncludes providers from all education sectors.</w:t>
      </w:r>
    </w:p>
  </w:footnote>
  <w:footnote w:id="80">
    <w:p w:rsidR="00EE7839" w:rsidRPr="00511AC2" w:rsidRDefault="00EE7839" w:rsidP="00731F04">
      <w:pPr>
        <w:rPr>
          <w:rFonts w:ascii="Times New Roman" w:hAnsi="Times New Roman" w:cs="Times New Roman"/>
          <w:sz w:val="20"/>
          <w:szCs w:val="20"/>
        </w:rPr>
      </w:pPr>
      <w:r>
        <w:rPr>
          <w:rStyle w:val="FootnoteReference"/>
        </w:rPr>
        <w:footnoteRef/>
      </w:r>
      <w:r>
        <w:t xml:space="preserve"> </w:t>
      </w:r>
      <w:r w:rsidRPr="00511AC2">
        <w:rPr>
          <w:rFonts w:ascii="Times New Roman" w:hAnsi="Times New Roman" w:cs="Times New Roman"/>
          <w:sz w:val="20"/>
          <w:szCs w:val="20"/>
        </w:rPr>
        <w:t>The National Code 2007 i</w:t>
      </w:r>
      <w:r>
        <w:rPr>
          <w:rFonts w:ascii="Times New Roman" w:hAnsi="Times New Roman" w:cs="Times New Roman"/>
          <w:sz w:val="20"/>
          <w:szCs w:val="20"/>
        </w:rPr>
        <w:t xml:space="preserve">s available at </w:t>
      </w:r>
      <w:hyperlink r:id="rId17" w:history="1">
        <w:r w:rsidRPr="00984A6B">
          <w:rPr>
            <w:rStyle w:val="Hyperlink"/>
            <w:sz w:val="20"/>
            <w:szCs w:val="20"/>
          </w:rPr>
          <w:t>www.aei.gov.au</w:t>
        </w:r>
      </w:hyperlink>
      <w:r>
        <w:rPr>
          <w:rFonts w:ascii="Times New Roman" w:hAnsi="Times New Roman" w:cs="Times New Roman"/>
          <w:sz w:val="20"/>
          <w:szCs w:val="20"/>
        </w:rPr>
        <w:t xml:space="preserve">. </w:t>
      </w:r>
    </w:p>
  </w:footnote>
  <w:footnote w:id="81">
    <w:p w:rsidR="00EE7839" w:rsidRDefault="00EE7839" w:rsidP="009C0308">
      <w:pPr>
        <w:pStyle w:val="FootnoteText"/>
      </w:pPr>
      <w:r>
        <w:rPr>
          <w:rStyle w:val="FootnoteReference"/>
        </w:rPr>
        <w:footnoteRef/>
      </w:r>
      <w:r w:rsidRPr="00B6620A">
        <w:rPr>
          <w:rFonts w:ascii="Times New Roman" w:hAnsi="Times New Roman" w:cs="Times New Roman"/>
          <w:sz w:val="24"/>
          <w:szCs w:val="24"/>
        </w:rPr>
        <w:t xml:space="preserve"> </w:t>
      </w:r>
      <w:r w:rsidRPr="00511AC2">
        <w:rPr>
          <w:rFonts w:ascii="Times New Roman" w:hAnsi="Times New Roman" w:cs="Times New Roman"/>
        </w:rPr>
        <w:t xml:space="preserve">(CTH) Ombudsman Act 1976, Part 11C, </w:t>
      </w:r>
      <w:proofErr w:type="spellStart"/>
      <w:r w:rsidRPr="00511AC2">
        <w:rPr>
          <w:rFonts w:ascii="Times New Roman" w:hAnsi="Times New Roman" w:cs="Times New Roman"/>
        </w:rPr>
        <w:t>ss</w:t>
      </w:r>
      <w:proofErr w:type="spellEnd"/>
      <w:r w:rsidRPr="00511AC2">
        <w:rPr>
          <w:rFonts w:ascii="Times New Roman" w:hAnsi="Times New Roman" w:cs="Times New Roman"/>
        </w:rPr>
        <w:t xml:space="preserve"> 19ZI.</w:t>
      </w:r>
    </w:p>
  </w:footnote>
  <w:footnote w:id="82">
    <w:p w:rsidR="00EE7839" w:rsidRDefault="00EE7839" w:rsidP="009C0308">
      <w:pPr>
        <w:pStyle w:val="FootnoteText"/>
      </w:pPr>
      <w:r>
        <w:rPr>
          <w:rStyle w:val="FootnoteReference"/>
        </w:rPr>
        <w:footnoteRef/>
      </w:r>
      <w:r>
        <w:t xml:space="preserve"> </w:t>
      </w:r>
      <w:r w:rsidRPr="00511AC2">
        <w:rPr>
          <w:rFonts w:ascii="Times New Roman" w:hAnsi="Times New Roman" w:cs="Times New Roman"/>
        </w:rPr>
        <w:t>Ibid, s 19ZJ (1)(a), (3).</w:t>
      </w:r>
    </w:p>
  </w:footnote>
  <w:footnote w:id="83">
    <w:p w:rsidR="00EE7839" w:rsidRPr="00BE057A" w:rsidRDefault="00EE7839" w:rsidP="00BE057A">
      <w:pPr>
        <w:rPr>
          <w:rFonts w:ascii="Times New Roman" w:hAnsi="Times New Roman" w:cs="Times New Roman"/>
          <w:sz w:val="24"/>
          <w:szCs w:val="24"/>
        </w:rPr>
      </w:pPr>
      <w:r>
        <w:rPr>
          <w:rStyle w:val="FootnoteReference"/>
        </w:rPr>
        <w:footnoteRef/>
      </w:r>
      <w:r>
        <w:t xml:space="preserve"> </w:t>
      </w:r>
      <w:r w:rsidRPr="00511AC2">
        <w:rPr>
          <w:rFonts w:ascii="Times New Roman" w:hAnsi="Times New Roman" w:cs="Times New Roman"/>
          <w:sz w:val="20"/>
          <w:szCs w:val="20"/>
        </w:rPr>
        <w:t>Ibid, s 19ZJ (1)(b), 2(a), 2(b).</w:t>
      </w:r>
    </w:p>
  </w:footnote>
  <w:footnote w:id="84">
    <w:p w:rsidR="00EE7839" w:rsidRDefault="00EE7839" w:rsidP="00731F04">
      <w:pPr>
        <w:pStyle w:val="FootnoteText"/>
      </w:pPr>
      <w:r>
        <w:rPr>
          <w:rStyle w:val="FootnoteReference"/>
        </w:rPr>
        <w:footnoteRef/>
      </w:r>
      <w:r>
        <w:t xml:space="preserve"> </w:t>
      </w:r>
      <w:r w:rsidRPr="00E93070">
        <w:rPr>
          <w:rFonts w:ascii="Times New Roman" w:hAnsi="Times New Roman" w:cs="Times New Roman"/>
        </w:rPr>
        <w:t xml:space="preserve">Knight M (2011) Introduction, </w:t>
      </w:r>
      <w:hyperlink r:id="rId18" w:history="1">
        <w:r w:rsidRPr="00E93070">
          <w:rPr>
            <w:rStyle w:val="Hyperlink"/>
            <w:i/>
          </w:rPr>
          <w:t>Strategic Review of the Student Visa Program 2011</w:t>
        </w:r>
      </w:hyperlink>
      <w:r>
        <w:rPr>
          <w:rFonts w:ascii="Times New Roman" w:hAnsi="Times New Roman" w:cs="Times New Roman"/>
        </w:rPr>
        <w:t>.</w:t>
      </w:r>
      <w:r w:rsidRPr="00E93070">
        <w:rPr>
          <w:rFonts w:ascii="Times New Roman" w:hAnsi="Times New Roman" w:cs="Times New Roman"/>
        </w:rPr>
        <w:t>.</w:t>
      </w:r>
      <w:r w:rsidRPr="00E93070">
        <w:rPr>
          <w:rFonts w:ascii="Times New Roman" w:hAnsi="Times New Roman" w:cs="Times New Roman"/>
          <w:sz w:val="24"/>
          <w:szCs w:val="24"/>
        </w:rPr>
        <w:t xml:space="preserve">   </w:t>
      </w:r>
    </w:p>
  </w:footnote>
  <w:footnote w:id="85">
    <w:p w:rsidR="00EE7839" w:rsidRPr="006926F6" w:rsidRDefault="00EE7839" w:rsidP="00731F04">
      <w:pPr>
        <w:pStyle w:val="FootnoteText"/>
        <w:rPr>
          <w:rFonts w:ascii="Times New Roman" w:hAnsi="Times New Roman" w:cs="Times New Roman"/>
        </w:rPr>
      </w:pPr>
      <w:r w:rsidRPr="006926F6">
        <w:rPr>
          <w:rStyle w:val="FootnoteReference"/>
        </w:rPr>
        <w:footnoteRef/>
      </w:r>
      <w:r w:rsidRPr="006926F6">
        <w:rPr>
          <w:rFonts w:ascii="Times New Roman" w:hAnsi="Times New Roman" w:cs="Times New Roman"/>
        </w:rPr>
        <w:t xml:space="preserve"> COAG, 2010</w:t>
      </w:r>
      <w:r>
        <w:rPr>
          <w:rFonts w:ascii="Times New Roman" w:hAnsi="Times New Roman" w:cs="Times New Roman"/>
        </w:rPr>
        <w:t>.</w:t>
      </w:r>
    </w:p>
  </w:footnote>
  <w:footnote w:id="86">
    <w:p w:rsidR="00EE7839" w:rsidRPr="003D7CA6" w:rsidRDefault="00EE7839" w:rsidP="00F37845">
      <w:pPr>
        <w:spacing w:line="240" w:lineRule="auto"/>
        <w:rPr>
          <w:rFonts w:ascii="Times New Roman" w:hAnsi="Times New Roman" w:cs="Times New Roman"/>
          <w:bCs/>
          <w:i/>
          <w:sz w:val="24"/>
          <w:szCs w:val="24"/>
        </w:rPr>
      </w:pPr>
      <w:r>
        <w:rPr>
          <w:rStyle w:val="FootnoteReference"/>
        </w:rPr>
        <w:footnoteRef/>
      </w:r>
      <w:r>
        <w:t xml:space="preserve"> </w:t>
      </w:r>
      <w:r w:rsidRPr="003D7CA6">
        <w:rPr>
          <w:rFonts w:ascii="Times New Roman" w:hAnsi="Times New Roman" w:cs="Times New Roman"/>
          <w:bCs/>
          <w:sz w:val="20"/>
          <w:szCs w:val="20"/>
        </w:rPr>
        <w:t xml:space="preserve">Kirby J in the High Court of Australia in </w:t>
      </w:r>
      <w:r w:rsidRPr="003D7CA6">
        <w:rPr>
          <w:rFonts w:ascii="Times New Roman" w:hAnsi="Times New Roman" w:cs="Times New Roman"/>
          <w:bCs/>
          <w:i/>
          <w:sz w:val="20"/>
          <w:szCs w:val="20"/>
        </w:rPr>
        <w:t>Griffith University v Tang</w:t>
      </w:r>
      <w:r>
        <w:rPr>
          <w:rFonts w:ascii="Times New Roman" w:hAnsi="Times New Roman" w:cs="Times New Roman"/>
          <w:bCs/>
          <w:i/>
          <w:sz w:val="20"/>
          <w:szCs w:val="20"/>
        </w:rPr>
        <w:t xml:space="preserve">, </w:t>
      </w:r>
      <w:r>
        <w:rPr>
          <w:rFonts w:ascii="Times New Roman" w:hAnsi="Times New Roman" w:cs="Times New Roman"/>
          <w:bCs/>
          <w:sz w:val="20"/>
          <w:szCs w:val="20"/>
        </w:rPr>
        <w:t>Transcript of Proceedings, [2004] HCA Transcripts 227 (21 June 2004).</w:t>
      </w:r>
      <w:r>
        <w:rPr>
          <w:rFonts w:ascii="Times New Roman" w:hAnsi="Times New Roman" w:cs="Times New Roman"/>
          <w:bCs/>
          <w:i/>
          <w:sz w:val="24"/>
          <w:szCs w:val="24"/>
        </w:rPr>
        <w:t xml:space="preserve"> </w:t>
      </w:r>
    </w:p>
  </w:footnote>
  <w:footnote w:id="87">
    <w:p w:rsidR="00EE7839" w:rsidRPr="003D7CA6" w:rsidRDefault="00EE7839" w:rsidP="00F37845">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Notably this was argued by the university in New Zealand in the case of</w:t>
      </w:r>
      <w:r w:rsidRPr="00C72F19">
        <w:rPr>
          <w:rFonts w:ascii="Times New Roman" w:hAnsi="Times New Roman" w:cs="Times New Roman"/>
        </w:rPr>
        <w:t xml:space="preserve"> </w:t>
      </w:r>
      <w:r w:rsidRPr="00C72F19">
        <w:rPr>
          <w:rFonts w:ascii="Times New Roman" w:hAnsi="Times New Roman" w:cs="Times New Roman"/>
          <w:i/>
        </w:rPr>
        <w:t xml:space="preserve">Grant, Woolley, Staines &amp; Grant v Victoria University of Wellington </w:t>
      </w:r>
      <w:r w:rsidRPr="00C72F19">
        <w:rPr>
          <w:rFonts w:ascii="Times New Roman" w:hAnsi="Times New Roman" w:cs="Times New Roman"/>
        </w:rPr>
        <w:t>(High Court of New Zealand, Wellington Registry, Ellis J, CP 312/96 unreported).</w:t>
      </w:r>
      <w:r>
        <w:rPr>
          <w:rFonts w:ascii="Times New Roman" w:hAnsi="Times New Roman" w:cs="Times New Roman"/>
        </w:rPr>
        <w:t xml:space="preserve">  The argument was rejected by Ellis J in the High Court.</w:t>
      </w:r>
    </w:p>
  </w:footnote>
  <w:footnote w:id="88">
    <w:p w:rsidR="00EE7839" w:rsidRPr="00C72F19" w:rsidRDefault="00EE7839">
      <w:pPr>
        <w:pStyle w:val="FootnoteText"/>
        <w:rPr>
          <w:rFonts w:ascii="Times New Roman" w:hAnsi="Times New Roman" w:cs="Times New Roman"/>
        </w:rPr>
      </w:pPr>
      <w:r w:rsidRPr="00C72F19">
        <w:rPr>
          <w:rStyle w:val="FootnoteReference"/>
        </w:rPr>
        <w:footnoteRef/>
      </w:r>
      <w:r w:rsidRPr="00C72F19">
        <w:rPr>
          <w:rFonts w:ascii="Times New Roman" w:hAnsi="Times New Roman" w:cs="Times New Roman"/>
        </w:rPr>
        <w:t xml:space="preserve"> </w:t>
      </w:r>
      <w:r>
        <w:rPr>
          <w:rFonts w:ascii="Times New Roman" w:hAnsi="Times New Roman" w:cs="Times New Roman"/>
        </w:rPr>
        <w:t>For example, i</w:t>
      </w:r>
      <w:r w:rsidRPr="00C72F19">
        <w:rPr>
          <w:rFonts w:ascii="Times New Roman" w:hAnsi="Times New Roman" w:cs="Times New Roman"/>
        </w:rPr>
        <w:t xml:space="preserve">n the UK in </w:t>
      </w:r>
      <w:r w:rsidRPr="00C72F19">
        <w:rPr>
          <w:rFonts w:ascii="Times New Roman" w:hAnsi="Times New Roman" w:cs="Times New Roman"/>
          <w:i/>
        </w:rPr>
        <w:t xml:space="preserve">Clark v The University of Lincolnshire &amp; Humberside </w:t>
      </w:r>
      <w:r w:rsidRPr="00C72F19">
        <w:rPr>
          <w:rFonts w:ascii="Times New Roman" w:hAnsi="Times New Roman" w:cs="Times New Roman"/>
        </w:rPr>
        <w:t xml:space="preserve">[2000] EWCA </w:t>
      </w:r>
      <w:proofErr w:type="spellStart"/>
      <w:r w:rsidRPr="00C72F19">
        <w:rPr>
          <w:rFonts w:ascii="Times New Roman" w:hAnsi="Times New Roman" w:cs="Times New Roman"/>
        </w:rPr>
        <w:t>Civ</w:t>
      </w:r>
      <w:proofErr w:type="spellEnd"/>
      <w:r w:rsidRPr="00C72F19">
        <w:rPr>
          <w:rFonts w:ascii="Times New Roman" w:hAnsi="Times New Roman" w:cs="Times New Roman"/>
        </w:rPr>
        <w:t xml:space="preserve"> 129; in New Zealand, </w:t>
      </w:r>
      <w:r w:rsidRPr="00C72F19">
        <w:rPr>
          <w:rFonts w:ascii="Times New Roman" w:hAnsi="Times New Roman" w:cs="Times New Roman"/>
          <w:i/>
        </w:rPr>
        <w:t xml:space="preserve">Grant, Woolley, Staines &amp; Grant v Victoria University of Wellington </w:t>
      </w:r>
      <w:r w:rsidRPr="00C72F19">
        <w:rPr>
          <w:rFonts w:ascii="Times New Roman" w:hAnsi="Times New Roman" w:cs="Times New Roman"/>
        </w:rPr>
        <w:t>(High Court of New Zealand, Wellington Registry, Ellis J, CP 312/96 unreported).</w:t>
      </w:r>
    </w:p>
  </w:footnote>
  <w:footnote w:id="89">
    <w:p w:rsidR="00EE7839" w:rsidRPr="000A55E8" w:rsidRDefault="00EE7839">
      <w:pPr>
        <w:pStyle w:val="FootnoteText"/>
        <w:rPr>
          <w:rFonts w:ascii="Times New Roman" w:hAnsi="Times New Roman" w:cs="Times New Roman"/>
        </w:rPr>
      </w:pPr>
      <w:r w:rsidRPr="000A55E8">
        <w:rPr>
          <w:rStyle w:val="FootnoteReference"/>
        </w:rPr>
        <w:footnoteRef/>
      </w:r>
      <w:r w:rsidRPr="000A55E8">
        <w:rPr>
          <w:rFonts w:ascii="Times New Roman" w:hAnsi="Times New Roman" w:cs="Times New Roman"/>
        </w:rPr>
        <w:t xml:space="preserve"> For example, see Astor H ‘Australian Universities in Court: Causes, Costs and Consequences of Increasing Litigation’ (2008)19 </w:t>
      </w:r>
      <w:r w:rsidRPr="000A55E8">
        <w:rPr>
          <w:rFonts w:ascii="Times New Roman" w:hAnsi="Times New Roman" w:cs="Times New Roman"/>
          <w:i/>
        </w:rPr>
        <w:t xml:space="preserve">Australasian Dispute Resolution Journal </w:t>
      </w:r>
      <w:r w:rsidRPr="000A55E8">
        <w:rPr>
          <w:rFonts w:ascii="Times New Roman" w:hAnsi="Times New Roman" w:cs="Times New Roman"/>
        </w:rPr>
        <w:t xml:space="preserve">156; </w:t>
      </w:r>
      <w:proofErr w:type="spellStart"/>
      <w:r w:rsidRPr="000A55E8">
        <w:rPr>
          <w:rFonts w:ascii="Times New Roman" w:hAnsi="Times New Roman" w:cs="Times New Roman"/>
        </w:rPr>
        <w:t>Kamvounias</w:t>
      </w:r>
      <w:proofErr w:type="spellEnd"/>
      <w:r w:rsidRPr="000A55E8">
        <w:rPr>
          <w:rFonts w:ascii="Times New Roman" w:hAnsi="Times New Roman" w:cs="Times New Roman"/>
        </w:rPr>
        <w:t xml:space="preserve"> P &amp; </w:t>
      </w:r>
      <w:proofErr w:type="spellStart"/>
      <w:r w:rsidRPr="000A55E8">
        <w:rPr>
          <w:rFonts w:ascii="Times New Roman" w:hAnsi="Times New Roman" w:cs="Times New Roman"/>
        </w:rPr>
        <w:t>Varnham</w:t>
      </w:r>
      <w:proofErr w:type="spellEnd"/>
      <w:r w:rsidRPr="000A55E8">
        <w:rPr>
          <w:rFonts w:ascii="Times New Roman" w:hAnsi="Times New Roman" w:cs="Times New Roman"/>
        </w:rPr>
        <w:t xml:space="preserve"> S ‘In-House or in Court: Legal Challenges to University Decisions’ (2006) 18 </w:t>
      </w:r>
      <w:r w:rsidRPr="000A55E8">
        <w:rPr>
          <w:rFonts w:ascii="Times New Roman" w:hAnsi="Times New Roman" w:cs="Times New Roman"/>
          <w:i/>
        </w:rPr>
        <w:t xml:space="preserve">Education and the Law </w:t>
      </w:r>
      <w:r w:rsidRPr="000A55E8">
        <w:rPr>
          <w:rFonts w:ascii="Times New Roman" w:hAnsi="Times New Roman" w:cs="Times New Roman"/>
        </w:rPr>
        <w:t>1; Rochford F ‘The Relationship between the Student and the University’</w:t>
      </w:r>
      <w:r>
        <w:rPr>
          <w:rFonts w:ascii="Times New Roman" w:hAnsi="Times New Roman" w:cs="Times New Roman"/>
        </w:rPr>
        <w:t xml:space="preserve"> </w:t>
      </w:r>
      <w:r w:rsidRPr="000A55E8">
        <w:rPr>
          <w:rFonts w:ascii="Times New Roman" w:hAnsi="Times New Roman" w:cs="Times New Roman"/>
        </w:rPr>
        <w:t xml:space="preserve">(1998) 3 (1) </w:t>
      </w:r>
      <w:r w:rsidRPr="000A55E8">
        <w:rPr>
          <w:rFonts w:ascii="Times New Roman" w:hAnsi="Times New Roman" w:cs="Times New Roman"/>
          <w:i/>
        </w:rPr>
        <w:t xml:space="preserve">Australia and New Zealand Journal of Law and Education, </w:t>
      </w:r>
      <w:r w:rsidRPr="000A55E8">
        <w:rPr>
          <w:rFonts w:ascii="Times New Roman" w:hAnsi="Times New Roman" w:cs="Times New Roman"/>
        </w:rPr>
        <w:t>38.</w:t>
      </w:r>
    </w:p>
  </w:footnote>
  <w:footnote w:id="90">
    <w:p w:rsidR="00EE7839" w:rsidRPr="002B631C" w:rsidRDefault="00EE7839" w:rsidP="00C0782D">
      <w:pPr>
        <w:pStyle w:val="FootnoteText"/>
        <w:rPr>
          <w:rFonts w:ascii="Times New Roman" w:hAnsi="Times New Roman" w:cs="Times New Roman"/>
          <w:i/>
        </w:rPr>
      </w:pPr>
      <w:r w:rsidRPr="002B631C">
        <w:rPr>
          <w:rStyle w:val="FootnoteReference"/>
        </w:rPr>
        <w:footnoteRef/>
      </w:r>
      <w:r w:rsidRPr="002B631C">
        <w:rPr>
          <w:rFonts w:ascii="Times New Roman" w:hAnsi="Times New Roman" w:cs="Times New Roman"/>
        </w:rPr>
        <w:t xml:space="preserve"> </w:t>
      </w:r>
      <w:proofErr w:type="spellStart"/>
      <w:r w:rsidRPr="002B631C">
        <w:rPr>
          <w:rFonts w:ascii="Times New Roman" w:hAnsi="Times New Roman" w:cs="Times New Roman"/>
        </w:rPr>
        <w:t>ss</w:t>
      </w:r>
      <w:proofErr w:type="spellEnd"/>
      <w:r w:rsidRPr="002B631C">
        <w:rPr>
          <w:rFonts w:ascii="Times New Roman" w:hAnsi="Times New Roman" w:cs="Times New Roman"/>
        </w:rPr>
        <w:t xml:space="preserve"> 60 and 61</w:t>
      </w:r>
      <w:r>
        <w:rPr>
          <w:rFonts w:ascii="Times New Roman" w:hAnsi="Times New Roman" w:cs="Times New Roman"/>
        </w:rPr>
        <w:t xml:space="preserve">, </w:t>
      </w:r>
      <w:r>
        <w:rPr>
          <w:rFonts w:ascii="Times New Roman" w:hAnsi="Times New Roman" w:cs="Times New Roman"/>
          <w:i/>
        </w:rPr>
        <w:t>Australian Consumer Law.</w:t>
      </w:r>
      <w:r w:rsidRPr="002B631C">
        <w:rPr>
          <w:rFonts w:ascii="Times New Roman" w:hAnsi="Times New Roman" w:cs="Times New Roman"/>
          <w:i/>
        </w:rPr>
        <w:t xml:space="preserve">  </w:t>
      </w:r>
      <w:r w:rsidRPr="002B631C">
        <w:rPr>
          <w:rFonts w:ascii="Times New Roman" w:hAnsi="Times New Roman" w:cs="Times New Roman"/>
        </w:rPr>
        <w:t>The new regime also contains provisions relating to unfair contractual terms which may well have application to a university/student contract.</w:t>
      </w:r>
      <w:r>
        <w:rPr>
          <w:rFonts w:ascii="Times New Roman" w:hAnsi="Times New Roman" w:cs="Times New Roman"/>
        </w:rPr>
        <w:t xml:space="preserve">  For a comprehensive discussion, see also Rochford F ‘</w:t>
      </w:r>
      <w:r>
        <w:rPr>
          <w:rFonts w:ascii="Times New Roman" w:hAnsi="Times New Roman" w:cs="Times New Roman"/>
          <w:i/>
        </w:rPr>
        <w:t xml:space="preserve">So Sue Me – the Australian Consumer Law in Higher Education’ . </w:t>
      </w:r>
      <w:r>
        <w:rPr>
          <w:rFonts w:ascii="Times New Roman" w:hAnsi="Times New Roman" w:cs="Times New Roman"/>
        </w:rPr>
        <w:t xml:space="preserve">Paper presented at the Annual Conference of the Australia and New Zealand Education Law Association (ANZELA), 3-5 October 2012, </w:t>
      </w:r>
      <w:proofErr w:type="spellStart"/>
      <w:r>
        <w:rPr>
          <w:rFonts w:ascii="Times New Roman" w:hAnsi="Times New Roman" w:cs="Times New Roman"/>
        </w:rPr>
        <w:t>Rotorua</w:t>
      </w:r>
      <w:proofErr w:type="spellEnd"/>
      <w:r>
        <w:rPr>
          <w:rFonts w:ascii="Times New Roman" w:hAnsi="Times New Roman" w:cs="Times New Roman"/>
        </w:rPr>
        <w:t>, New Zealand.</w:t>
      </w:r>
      <w:r>
        <w:rPr>
          <w:rFonts w:ascii="Times New Roman" w:hAnsi="Times New Roman" w:cs="Times New Roman"/>
          <w:i/>
        </w:rPr>
        <w:t xml:space="preserve"> </w:t>
      </w:r>
    </w:p>
  </w:footnote>
  <w:footnote w:id="91">
    <w:p w:rsidR="00EE7839" w:rsidRPr="000A55E8" w:rsidRDefault="00EE7839">
      <w:pPr>
        <w:pStyle w:val="FootnoteText"/>
        <w:rPr>
          <w:rFonts w:ascii="Times New Roman" w:hAnsi="Times New Roman" w:cs="Times New Roman"/>
        </w:rPr>
      </w:pPr>
      <w:r w:rsidRPr="000A55E8">
        <w:rPr>
          <w:rStyle w:val="FootnoteReference"/>
        </w:rPr>
        <w:footnoteRef/>
      </w:r>
      <w:r>
        <w:rPr>
          <w:rFonts w:ascii="Times New Roman" w:hAnsi="Times New Roman" w:cs="Times New Roman"/>
        </w:rPr>
        <w:t xml:space="preserve"> For example, s 52 (CTH</w:t>
      </w:r>
      <w:r w:rsidRPr="000A55E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Trade Practices </w:t>
      </w:r>
      <w:r w:rsidRPr="000A55E8">
        <w:rPr>
          <w:rFonts w:ascii="Times New Roman" w:hAnsi="Times New Roman" w:cs="Times New Roman"/>
          <w:i/>
        </w:rPr>
        <w:t xml:space="preserve">Act 1974, </w:t>
      </w:r>
      <w:r>
        <w:rPr>
          <w:rFonts w:ascii="Times New Roman" w:hAnsi="Times New Roman" w:cs="Times New Roman"/>
        </w:rPr>
        <w:t>now replaced by s 18 (CTH</w:t>
      </w:r>
      <w:r w:rsidRPr="000A55E8">
        <w:rPr>
          <w:rFonts w:ascii="Times New Roman" w:hAnsi="Times New Roman" w:cs="Times New Roman"/>
        </w:rPr>
        <w:t xml:space="preserve">) </w:t>
      </w:r>
      <w:r w:rsidRPr="000A55E8">
        <w:rPr>
          <w:rFonts w:ascii="Times New Roman" w:hAnsi="Times New Roman" w:cs="Times New Roman"/>
          <w:i/>
        </w:rPr>
        <w:t>Competition and Consumer Act 2011.</w:t>
      </w:r>
      <w:r w:rsidRPr="000A55E8">
        <w:rPr>
          <w:rFonts w:ascii="Times New Roman" w:hAnsi="Times New Roman" w:cs="Times New Roman"/>
        </w:rPr>
        <w:t xml:space="preserve"> </w:t>
      </w:r>
    </w:p>
  </w:footnote>
  <w:footnote w:id="92">
    <w:p w:rsidR="00EE7839" w:rsidRPr="005010EA" w:rsidRDefault="00EE7839">
      <w:pPr>
        <w:pStyle w:val="FootnoteText"/>
        <w:rPr>
          <w:rFonts w:ascii="Times New Roman" w:hAnsi="Times New Roman" w:cs="Times New Roman"/>
        </w:rPr>
      </w:pPr>
      <w:r w:rsidRPr="005010EA">
        <w:rPr>
          <w:rStyle w:val="FootnoteReference"/>
        </w:rPr>
        <w:footnoteRef/>
      </w:r>
      <w:r w:rsidRPr="005010EA">
        <w:rPr>
          <w:rFonts w:ascii="Times New Roman" w:hAnsi="Times New Roman" w:cs="Times New Roman"/>
        </w:rPr>
        <w:t xml:space="preserve"> See, for example, </w:t>
      </w:r>
      <w:r w:rsidRPr="005010EA">
        <w:rPr>
          <w:rFonts w:ascii="Times New Roman" w:hAnsi="Times New Roman" w:cs="Times New Roman"/>
          <w:i/>
        </w:rPr>
        <w:t>Fennell v ANU</w:t>
      </w:r>
      <w:r w:rsidRPr="005010EA">
        <w:rPr>
          <w:rFonts w:ascii="Times New Roman" w:hAnsi="Times New Roman" w:cs="Times New Roman"/>
        </w:rPr>
        <w:t xml:space="preserve"> [1999] FCA</w:t>
      </w:r>
      <w:r w:rsidRPr="005010EA">
        <w:rPr>
          <w:rFonts w:ascii="Times New Roman" w:hAnsi="Times New Roman" w:cs="Times New Roman"/>
          <w:i/>
        </w:rPr>
        <w:t xml:space="preserve"> </w:t>
      </w:r>
      <w:r w:rsidRPr="005010EA">
        <w:rPr>
          <w:rFonts w:ascii="Times New Roman" w:hAnsi="Times New Roman" w:cs="Times New Roman"/>
        </w:rPr>
        <w:t xml:space="preserve">and </w:t>
      </w:r>
      <w:r w:rsidRPr="005010EA">
        <w:rPr>
          <w:rFonts w:ascii="Times New Roman" w:hAnsi="Times New Roman" w:cs="Times New Roman"/>
          <w:i/>
        </w:rPr>
        <w:t>Kwan v University of Sydney Foundation Program Pty</w:t>
      </w:r>
      <w:r>
        <w:rPr>
          <w:rFonts w:ascii="Times New Roman" w:hAnsi="Times New Roman" w:cs="Times New Roman"/>
        </w:rPr>
        <w:t xml:space="preserve"> [2002] NSWCTTT 83. Also </w:t>
      </w:r>
      <w:r w:rsidRPr="005010EA">
        <w:rPr>
          <w:rFonts w:ascii="Times New Roman" w:hAnsi="Times New Roman" w:cs="Times New Roman"/>
        </w:rPr>
        <w:t xml:space="preserve">see </w:t>
      </w:r>
      <w:proofErr w:type="spellStart"/>
      <w:r w:rsidRPr="005010EA">
        <w:rPr>
          <w:rFonts w:ascii="Times New Roman" w:hAnsi="Times New Roman" w:cs="Times New Roman"/>
        </w:rPr>
        <w:t>Kamvounias</w:t>
      </w:r>
      <w:proofErr w:type="spellEnd"/>
      <w:r w:rsidRPr="005010EA">
        <w:rPr>
          <w:rFonts w:ascii="Times New Roman" w:hAnsi="Times New Roman" w:cs="Times New Roman"/>
        </w:rPr>
        <w:t xml:space="preserve"> P &amp; </w:t>
      </w:r>
      <w:proofErr w:type="spellStart"/>
      <w:r w:rsidRPr="005010EA">
        <w:rPr>
          <w:rFonts w:ascii="Times New Roman" w:hAnsi="Times New Roman" w:cs="Times New Roman"/>
        </w:rPr>
        <w:t>Varnham</w:t>
      </w:r>
      <w:proofErr w:type="spellEnd"/>
      <w:r w:rsidRPr="005010EA">
        <w:rPr>
          <w:rFonts w:ascii="Times New Roman" w:hAnsi="Times New Roman" w:cs="Times New Roman"/>
        </w:rPr>
        <w:t xml:space="preserve"> S ‘Getting What They Paid For: Consumer Rights of Students in Higher Education’ (2008) </w:t>
      </w:r>
      <w:r w:rsidRPr="002B631C">
        <w:rPr>
          <w:rFonts w:ascii="Times New Roman" w:hAnsi="Times New Roman" w:cs="Times New Roman"/>
          <w:i/>
        </w:rPr>
        <w:t>Griffith Law Review Special Issue</w:t>
      </w:r>
      <w:r w:rsidRPr="005010EA">
        <w:rPr>
          <w:rFonts w:ascii="Times New Roman" w:hAnsi="Times New Roman" w:cs="Times New Roman"/>
        </w:rPr>
        <w:t xml:space="preserve">, 306-332. </w:t>
      </w:r>
    </w:p>
  </w:footnote>
  <w:footnote w:id="93">
    <w:p w:rsidR="00EE7839" w:rsidRPr="000A55E8" w:rsidRDefault="00EE7839" w:rsidP="00C0782D">
      <w:pPr>
        <w:pStyle w:val="FootnoteText"/>
        <w:rPr>
          <w:rFonts w:ascii="Times New Roman" w:hAnsi="Times New Roman" w:cs="Times New Roman"/>
        </w:rPr>
      </w:pPr>
      <w:r w:rsidRPr="000A55E8">
        <w:rPr>
          <w:rStyle w:val="FootnoteReference"/>
        </w:rPr>
        <w:footnoteRef/>
      </w:r>
      <w:r w:rsidRPr="000A55E8">
        <w:rPr>
          <w:rFonts w:ascii="Times New Roman" w:hAnsi="Times New Roman" w:cs="Times New Roman"/>
        </w:rPr>
        <w:t xml:space="preserve"> See </w:t>
      </w:r>
      <w:proofErr w:type="spellStart"/>
      <w:r w:rsidRPr="000A55E8">
        <w:rPr>
          <w:rFonts w:ascii="Times New Roman" w:hAnsi="Times New Roman" w:cs="Times New Roman"/>
        </w:rPr>
        <w:t>Corones</w:t>
      </w:r>
      <w:proofErr w:type="spellEnd"/>
      <w:r w:rsidRPr="000A55E8">
        <w:rPr>
          <w:rFonts w:ascii="Times New Roman" w:hAnsi="Times New Roman" w:cs="Times New Roman"/>
        </w:rPr>
        <w:t xml:space="preserve"> S </w:t>
      </w:r>
      <w:r>
        <w:rPr>
          <w:rFonts w:ascii="Times New Roman" w:hAnsi="Times New Roman" w:cs="Times New Roman"/>
        </w:rPr>
        <w:t xml:space="preserve">‘Consumer Guarantees and the Supply of Educational Services by Higher Education Providers’ (2012) 35(1) </w:t>
      </w:r>
      <w:r w:rsidRPr="00FC1189">
        <w:rPr>
          <w:rFonts w:ascii="Times New Roman" w:hAnsi="Times New Roman" w:cs="Times New Roman"/>
          <w:i/>
        </w:rPr>
        <w:t>The University of New South Wales Law Journal</w:t>
      </w:r>
      <w:r>
        <w:rPr>
          <w:rFonts w:ascii="Times New Roman" w:hAnsi="Times New Roman" w:cs="Times New Roman"/>
          <w:i/>
        </w:rPr>
        <w:t>,</w:t>
      </w:r>
      <w:r>
        <w:rPr>
          <w:rFonts w:ascii="Times New Roman" w:hAnsi="Times New Roman" w:cs="Times New Roman"/>
        </w:rPr>
        <w:t xml:space="preserve"> 1-30, </w:t>
      </w:r>
      <w:r w:rsidRPr="000A55E8">
        <w:rPr>
          <w:rFonts w:ascii="Times New Roman" w:hAnsi="Times New Roman" w:cs="Times New Roman"/>
        </w:rPr>
        <w:t xml:space="preserve"> and Fleming H</w:t>
      </w:r>
      <w:r>
        <w:rPr>
          <w:rFonts w:ascii="Times New Roman" w:hAnsi="Times New Roman" w:cs="Times New Roman"/>
        </w:rPr>
        <w:t xml:space="preserve"> ‘</w:t>
      </w:r>
      <w:r w:rsidRPr="00736417">
        <w:rPr>
          <w:rFonts w:ascii="Times New Roman" w:hAnsi="Times New Roman" w:cs="Times New Roman"/>
          <w:i/>
        </w:rPr>
        <w:t>Student Legal Rights in Higher Education: consumerism is official, but is it sustainable?’</w:t>
      </w:r>
      <w:r>
        <w:rPr>
          <w:rFonts w:ascii="Times New Roman" w:hAnsi="Times New Roman" w:cs="Times New Roman"/>
        </w:rPr>
        <w:t xml:space="preserve"> Paper presented at the 20</w:t>
      </w:r>
      <w:r w:rsidRPr="00736417">
        <w:rPr>
          <w:rFonts w:ascii="Times New Roman" w:hAnsi="Times New Roman" w:cs="Times New Roman"/>
          <w:vertAlign w:val="superscript"/>
        </w:rPr>
        <w:t>th</w:t>
      </w:r>
      <w:r>
        <w:rPr>
          <w:rFonts w:ascii="Times New Roman" w:hAnsi="Times New Roman" w:cs="Times New Roman"/>
        </w:rPr>
        <w:t xml:space="preserve"> Annual Conference of the Australia and New Zealand Education Law Association (ANZELA), 2-4 October 2011, Darwin, Australia.</w:t>
      </w:r>
    </w:p>
  </w:footnote>
  <w:footnote w:id="94">
    <w:p w:rsidR="00EE7839" w:rsidRPr="00BA424F" w:rsidRDefault="00EE7839">
      <w:pPr>
        <w:pStyle w:val="FootnoteText"/>
        <w:rPr>
          <w:rFonts w:ascii="Times New Roman" w:hAnsi="Times New Roman" w:cs="Times New Roman"/>
        </w:rPr>
      </w:pPr>
      <w:r w:rsidRPr="00BA424F">
        <w:rPr>
          <w:rStyle w:val="FootnoteReference"/>
        </w:rPr>
        <w:footnoteRef/>
      </w:r>
      <w:r w:rsidRPr="00BA424F">
        <w:rPr>
          <w:rFonts w:ascii="Times New Roman" w:hAnsi="Times New Roman" w:cs="Times New Roman"/>
        </w:rPr>
        <w:t xml:space="preserve">It should be noted however that the extent of the Visitor’s jurisdiction was often in dispute.  See for example Matthew J G ‘The Office of the University Visitor (1980) </w:t>
      </w:r>
      <w:r w:rsidRPr="00BA424F">
        <w:rPr>
          <w:rFonts w:ascii="Times New Roman" w:hAnsi="Times New Roman" w:cs="Times New Roman"/>
          <w:i/>
        </w:rPr>
        <w:t xml:space="preserve">University of Queensland Law Journal </w:t>
      </w:r>
      <w:r w:rsidRPr="00BA424F">
        <w:rPr>
          <w:rFonts w:ascii="Times New Roman" w:hAnsi="Times New Roman" w:cs="Times New Roman"/>
        </w:rPr>
        <w:t xml:space="preserve">152, and Sadler R J ‘The University Visitor: Visitorial Precedent and Procedure in Australia’ (1981) </w:t>
      </w:r>
      <w:r w:rsidRPr="00BA424F">
        <w:rPr>
          <w:rFonts w:ascii="Times New Roman" w:hAnsi="Times New Roman" w:cs="Times New Roman"/>
          <w:i/>
        </w:rPr>
        <w:t xml:space="preserve">University of Tasmania Law Review </w:t>
      </w:r>
      <w:r w:rsidRPr="00BA424F">
        <w:rPr>
          <w:rFonts w:ascii="Times New Roman" w:hAnsi="Times New Roman" w:cs="Times New Roman"/>
        </w:rPr>
        <w:t>2.</w:t>
      </w:r>
    </w:p>
  </w:footnote>
  <w:footnote w:id="95">
    <w:p w:rsidR="00EE7839" w:rsidRPr="002C7963" w:rsidRDefault="00EE7839" w:rsidP="002C7963">
      <w:pPr>
        <w:rPr>
          <w:rFonts w:ascii="Times New Roman" w:hAnsi="Times New Roman" w:cs="Times New Roman"/>
          <w:sz w:val="20"/>
          <w:szCs w:val="20"/>
        </w:rPr>
      </w:pPr>
      <w:r w:rsidRPr="002E281B">
        <w:rPr>
          <w:rStyle w:val="FootnoteReference"/>
          <w:sz w:val="20"/>
          <w:szCs w:val="20"/>
        </w:rPr>
        <w:footnoteRef/>
      </w:r>
      <w:r w:rsidRPr="002E281B">
        <w:rPr>
          <w:rFonts w:ascii="Times New Roman" w:hAnsi="Times New Roman" w:cs="Times New Roman"/>
          <w:sz w:val="20"/>
          <w:szCs w:val="20"/>
        </w:rPr>
        <w:t xml:space="preserve"> For discussion of the functions and role of university visitors in Australia see </w:t>
      </w:r>
      <w:proofErr w:type="spellStart"/>
      <w:r w:rsidRPr="002E281B">
        <w:rPr>
          <w:rFonts w:ascii="Times New Roman" w:hAnsi="Times New Roman" w:cs="Times New Roman"/>
          <w:i/>
          <w:iCs/>
          <w:sz w:val="20"/>
          <w:szCs w:val="20"/>
        </w:rPr>
        <w:t>Bayley</w:t>
      </w:r>
      <w:proofErr w:type="spellEnd"/>
      <w:r w:rsidRPr="002E281B">
        <w:rPr>
          <w:rFonts w:ascii="Times New Roman" w:hAnsi="Times New Roman" w:cs="Times New Roman"/>
          <w:i/>
          <w:iCs/>
          <w:sz w:val="20"/>
          <w:szCs w:val="20"/>
        </w:rPr>
        <w:t>-Jones v University of Newcastle</w:t>
      </w:r>
      <w:r w:rsidRPr="002E281B">
        <w:rPr>
          <w:rFonts w:ascii="Times New Roman" w:hAnsi="Times New Roman" w:cs="Times New Roman"/>
          <w:sz w:val="20"/>
          <w:szCs w:val="20"/>
        </w:rPr>
        <w:t xml:space="preserve"> (1990) 22 NSWLR 424; 21 ALD 746 SC(NSW); </w:t>
      </w:r>
      <w:r w:rsidRPr="002E281B">
        <w:rPr>
          <w:rFonts w:ascii="Times New Roman" w:hAnsi="Times New Roman" w:cs="Times New Roman"/>
          <w:i/>
          <w:iCs/>
          <w:sz w:val="20"/>
          <w:szCs w:val="20"/>
        </w:rPr>
        <w:t>Re Mitchell</w:t>
      </w:r>
      <w:r w:rsidRPr="002E281B">
        <w:rPr>
          <w:rFonts w:ascii="Times New Roman" w:hAnsi="Times New Roman" w:cs="Times New Roman"/>
          <w:sz w:val="20"/>
          <w:szCs w:val="20"/>
        </w:rPr>
        <w:t xml:space="preserve"> (1992) 57 SASR 573; </w:t>
      </w:r>
      <w:r w:rsidRPr="002E281B">
        <w:rPr>
          <w:rFonts w:ascii="Times New Roman" w:hAnsi="Times New Roman" w:cs="Times New Roman"/>
          <w:i/>
          <w:iCs/>
          <w:sz w:val="20"/>
          <w:szCs w:val="20"/>
        </w:rPr>
        <w:t xml:space="preserve">Re La Trobe University; Ex parte </w:t>
      </w:r>
      <w:proofErr w:type="spellStart"/>
      <w:r w:rsidRPr="002E281B">
        <w:rPr>
          <w:rFonts w:ascii="Times New Roman" w:hAnsi="Times New Roman" w:cs="Times New Roman"/>
          <w:i/>
          <w:iCs/>
          <w:sz w:val="20"/>
          <w:szCs w:val="20"/>
        </w:rPr>
        <w:t>Hazan</w:t>
      </w:r>
      <w:proofErr w:type="spellEnd"/>
      <w:r w:rsidRPr="002E281B">
        <w:rPr>
          <w:rFonts w:ascii="Times New Roman" w:hAnsi="Times New Roman" w:cs="Times New Roman"/>
          <w:sz w:val="20"/>
          <w:szCs w:val="20"/>
        </w:rPr>
        <w:t xml:space="preserve"> [19</w:t>
      </w:r>
      <w:r>
        <w:rPr>
          <w:rFonts w:ascii="Times New Roman" w:hAnsi="Times New Roman" w:cs="Times New Roman"/>
          <w:sz w:val="20"/>
          <w:szCs w:val="20"/>
        </w:rPr>
        <w:t>93] 1 VR 7.</w:t>
      </w:r>
    </w:p>
  </w:footnote>
  <w:footnote w:id="96">
    <w:p w:rsidR="00EE7839" w:rsidRPr="002C7963" w:rsidRDefault="00EE7839">
      <w:pPr>
        <w:pStyle w:val="FootnoteText"/>
        <w:rPr>
          <w:rFonts w:ascii="Times New Roman" w:hAnsi="Times New Roman" w:cs="Times New Roman"/>
        </w:rPr>
      </w:pPr>
      <w:r w:rsidRPr="002C7963">
        <w:rPr>
          <w:rStyle w:val="FootnoteReference"/>
        </w:rPr>
        <w:footnoteRef/>
      </w:r>
      <w:r w:rsidRPr="002C7963">
        <w:rPr>
          <w:rFonts w:ascii="Times New Roman" w:hAnsi="Times New Roman" w:cs="Times New Roman"/>
        </w:rPr>
        <w:t xml:space="preserve"> For a comprehensive analysis of student/university litigation, see </w:t>
      </w:r>
      <w:proofErr w:type="spellStart"/>
      <w:r w:rsidRPr="002C7963">
        <w:rPr>
          <w:rFonts w:ascii="Times New Roman" w:hAnsi="Times New Roman" w:cs="Times New Roman"/>
        </w:rPr>
        <w:t>Kamvounias</w:t>
      </w:r>
      <w:proofErr w:type="spellEnd"/>
      <w:r w:rsidRPr="002C7963">
        <w:rPr>
          <w:rFonts w:ascii="Times New Roman" w:hAnsi="Times New Roman" w:cs="Times New Roman"/>
        </w:rPr>
        <w:t xml:space="preserve"> P &amp; </w:t>
      </w:r>
      <w:proofErr w:type="spellStart"/>
      <w:r w:rsidRPr="002C7963">
        <w:rPr>
          <w:rFonts w:ascii="Times New Roman" w:hAnsi="Times New Roman" w:cs="Times New Roman"/>
        </w:rPr>
        <w:t>Varnham</w:t>
      </w:r>
      <w:proofErr w:type="spellEnd"/>
      <w:r w:rsidRPr="002C7963">
        <w:rPr>
          <w:rFonts w:ascii="Times New Roman" w:hAnsi="Times New Roman" w:cs="Times New Roman"/>
        </w:rPr>
        <w:t xml:space="preserve"> S ‘Legal challenges to University Decisions Affecting Students in Australian Courts and Tribunals’ (2010)34(1) </w:t>
      </w:r>
      <w:r w:rsidRPr="002C7963">
        <w:rPr>
          <w:rFonts w:ascii="Times New Roman" w:hAnsi="Times New Roman" w:cs="Times New Roman"/>
          <w:i/>
        </w:rPr>
        <w:t xml:space="preserve">Melbourne University Law Review. </w:t>
      </w:r>
      <w:r w:rsidRPr="002C7963">
        <w:rPr>
          <w:rFonts w:ascii="Times New Roman" w:hAnsi="Times New Roman" w:cs="Times New Roman"/>
        </w:rPr>
        <w:t xml:space="preserve">140-180.  For a current list of reported cases, see Jackson J, Fleming H, </w:t>
      </w:r>
      <w:proofErr w:type="spellStart"/>
      <w:r w:rsidRPr="002C7963">
        <w:rPr>
          <w:rFonts w:ascii="Times New Roman" w:hAnsi="Times New Roman" w:cs="Times New Roman"/>
        </w:rPr>
        <w:t>Kamvounias</w:t>
      </w:r>
      <w:proofErr w:type="spellEnd"/>
      <w:r w:rsidRPr="002C7963">
        <w:rPr>
          <w:rFonts w:ascii="Times New Roman" w:hAnsi="Times New Roman" w:cs="Times New Roman"/>
        </w:rPr>
        <w:t xml:space="preserve"> P &amp; </w:t>
      </w:r>
      <w:proofErr w:type="spellStart"/>
      <w:r w:rsidRPr="002C7963">
        <w:rPr>
          <w:rFonts w:ascii="Times New Roman" w:hAnsi="Times New Roman" w:cs="Times New Roman"/>
        </w:rPr>
        <w:t>Varnham</w:t>
      </w:r>
      <w:proofErr w:type="spellEnd"/>
      <w:r w:rsidRPr="002C7963">
        <w:rPr>
          <w:rFonts w:ascii="Times New Roman" w:hAnsi="Times New Roman" w:cs="Times New Roman"/>
        </w:rPr>
        <w:t xml:space="preserve"> S ‘Student Grievances and Discipline Matters Project Report’(2009). </w:t>
      </w:r>
      <w:hyperlink r:id="rId19" w:history="1">
        <w:r w:rsidRPr="002C7963">
          <w:rPr>
            <w:rStyle w:val="Hyperlink"/>
          </w:rPr>
          <w:t>http://www.olt.gov.au/resources?text=student+grievances+and+discipline+matters</w:t>
        </w:r>
      </w:hyperlink>
      <w:r w:rsidRPr="002C7963">
        <w:rPr>
          <w:rFonts w:ascii="Times New Roman" w:hAnsi="Times New Roman" w:cs="Times New Roman"/>
        </w:rPr>
        <w:t xml:space="preserve">  </w:t>
      </w:r>
    </w:p>
  </w:footnote>
  <w:footnote w:id="97">
    <w:p w:rsidR="00EE7839" w:rsidRPr="002C7963" w:rsidRDefault="00EE7839">
      <w:pPr>
        <w:pStyle w:val="FootnoteText"/>
        <w:rPr>
          <w:rFonts w:ascii="Times New Roman" w:hAnsi="Times New Roman" w:cs="Times New Roman"/>
        </w:rPr>
      </w:pPr>
      <w:r w:rsidRPr="002C7963">
        <w:rPr>
          <w:rStyle w:val="FootnoteReference"/>
        </w:rPr>
        <w:footnoteRef/>
      </w:r>
      <w:r>
        <w:rPr>
          <w:rFonts w:ascii="Times New Roman" w:hAnsi="Times New Roman" w:cs="Times New Roman"/>
        </w:rPr>
        <w:t xml:space="preserve"> </w:t>
      </w:r>
      <w:r w:rsidRPr="002C7963">
        <w:rPr>
          <w:rFonts w:ascii="Times New Roman" w:hAnsi="Times New Roman" w:cs="Times New Roman"/>
        </w:rPr>
        <w:t xml:space="preserve"> (2005) 213 ALR 724.</w:t>
      </w:r>
    </w:p>
  </w:footnote>
  <w:footnote w:id="98">
    <w:p w:rsidR="00EE7839" w:rsidRPr="00377F42" w:rsidRDefault="00EE7839" w:rsidP="00377F42">
      <w:pPr>
        <w:pStyle w:val="FootnoteText"/>
        <w:ind w:left="720" w:hanging="720"/>
        <w:rPr>
          <w:rFonts w:ascii="Times New Roman" w:hAnsi="Times New Roman" w:cs="Times New Roman"/>
          <w:i/>
        </w:rPr>
      </w:pPr>
      <w:r w:rsidRPr="00377F42">
        <w:rPr>
          <w:rStyle w:val="FootnoteReference"/>
        </w:rPr>
        <w:footnoteRef/>
      </w:r>
      <w:r w:rsidRPr="00377F42">
        <w:rPr>
          <w:rFonts w:ascii="Times New Roman" w:hAnsi="Times New Roman" w:cs="Times New Roman"/>
        </w:rPr>
        <w:t xml:space="preserve"> The applicable legislation was (CTH) </w:t>
      </w:r>
      <w:r w:rsidRPr="00377F42">
        <w:rPr>
          <w:rFonts w:ascii="Times New Roman" w:hAnsi="Times New Roman" w:cs="Times New Roman"/>
          <w:i/>
        </w:rPr>
        <w:t xml:space="preserve">Administrative Decisions (Judicial Review) Act 1977, </w:t>
      </w:r>
      <w:r w:rsidRPr="00377F42">
        <w:rPr>
          <w:rFonts w:ascii="Times New Roman" w:hAnsi="Times New Roman" w:cs="Times New Roman"/>
        </w:rPr>
        <w:t>and (Qld)</w:t>
      </w:r>
      <w:r>
        <w:rPr>
          <w:rFonts w:ascii="Times New Roman" w:hAnsi="Times New Roman" w:cs="Times New Roman"/>
        </w:rPr>
        <w:t xml:space="preserve"> </w:t>
      </w:r>
      <w:r>
        <w:rPr>
          <w:rFonts w:ascii="Times New Roman" w:hAnsi="Times New Roman" w:cs="Times New Roman"/>
          <w:i/>
        </w:rPr>
        <w:t xml:space="preserve">Judicial </w:t>
      </w:r>
      <w:r w:rsidRPr="00377F42">
        <w:rPr>
          <w:rFonts w:ascii="Times New Roman" w:hAnsi="Times New Roman" w:cs="Times New Roman"/>
          <w:i/>
        </w:rPr>
        <w:t>Review Act 1991.</w:t>
      </w:r>
    </w:p>
  </w:footnote>
  <w:footnote w:id="99">
    <w:p w:rsidR="00EE7839" w:rsidRPr="00432C13" w:rsidRDefault="00EE7839">
      <w:pPr>
        <w:pStyle w:val="FootnoteText"/>
        <w:rPr>
          <w:rFonts w:ascii="Times New Roman" w:hAnsi="Times New Roman" w:cs="Times New Roman"/>
        </w:rPr>
      </w:pPr>
      <w:r w:rsidRPr="00432C13">
        <w:rPr>
          <w:rStyle w:val="FootnoteReference"/>
        </w:rPr>
        <w:footnoteRef/>
      </w:r>
      <w:r w:rsidRPr="00432C13">
        <w:rPr>
          <w:rFonts w:ascii="Times New Roman" w:hAnsi="Times New Roman" w:cs="Times New Roman"/>
        </w:rPr>
        <w:t xml:space="preserve"> For example, a student at the University of Melbourne succeeded in overturning a decision of the university not to release assessment  marking schemes, in </w:t>
      </w:r>
      <w:r w:rsidRPr="00432C13">
        <w:rPr>
          <w:rFonts w:ascii="Times New Roman" w:hAnsi="Times New Roman" w:cs="Times New Roman"/>
          <w:i/>
        </w:rPr>
        <w:t xml:space="preserve">McKean v University of Melbourne (General) </w:t>
      </w:r>
      <w:r w:rsidRPr="00432C13">
        <w:rPr>
          <w:rFonts w:ascii="Times New Roman" w:hAnsi="Times New Roman" w:cs="Times New Roman"/>
        </w:rPr>
        <w:t>[2007] VCAT 1310 (31 July 2007).</w:t>
      </w:r>
    </w:p>
  </w:footnote>
  <w:footnote w:id="100">
    <w:p w:rsidR="00EE7839" w:rsidRPr="00432C13" w:rsidRDefault="00EE7839">
      <w:pPr>
        <w:pStyle w:val="FootnoteText"/>
        <w:rPr>
          <w:rFonts w:ascii="Times New Roman" w:hAnsi="Times New Roman" w:cs="Times New Roman"/>
        </w:rPr>
      </w:pPr>
      <w:r w:rsidRPr="00432C13">
        <w:rPr>
          <w:rStyle w:val="FootnoteReference"/>
        </w:rPr>
        <w:footnoteRef/>
      </w:r>
      <w:r w:rsidRPr="00432C13">
        <w:rPr>
          <w:rFonts w:ascii="Times New Roman" w:hAnsi="Times New Roman" w:cs="Times New Roman"/>
        </w:rPr>
        <w:t xml:space="preserve"> </w:t>
      </w:r>
      <w:r w:rsidRPr="00432C13">
        <w:rPr>
          <w:rFonts w:ascii="Times New Roman" w:hAnsi="Times New Roman" w:cs="Times New Roman"/>
          <w:i/>
        </w:rPr>
        <w:t xml:space="preserve">Griffith University v Tang </w:t>
      </w:r>
      <w:r w:rsidRPr="00432C13">
        <w:rPr>
          <w:rFonts w:ascii="Times New Roman" w:hAnsi="Times New Roman" w:cs="Times New Roman"/>
        </w:rPr>
        <w:t xml:space="preserve">(2005) 221 CLR 99 per Kirby J at 165, </w:t>
      </w:r>
      <w:r w:rsidRPr="00432C13">
        <w:rPr>
          <w:rFonts w:ascii="Times New Roman" w:hAnsi="Times New Roman" w:cs="Times New Roman"/>
          <w:i/>
        </w:rPr>
        <w:t xml:space="preserve">Hanna v University of New England </w:t>
      </w:r>
      <w:r w:rsidRPr="00432C13">
        <w:rPr>
          <w:rFonts w:ascii="Times New Roman" w:hAnsi="Times New Roman" w:cs="Times New Roman"/>
        </w:rPr>
        <w:t>[2006] NSWSC 122 (5 April 2006),</w:t>
      </w:r>
      <w:r w:rsidRPr="00432C13">
        <w:rPr>
          <w:rFonts w:ascii="Times New Roman" w:hAnsi="Times New Roman" w:cs="Times New Roman"/>
          <w:i/>
        </w:rPr>
        <w:t xml:space="preserve"> Walsh v University of Technology, Sydney</w:t>
      </w:r>
      <w:r w:rsidRPr="00432C13">
        <w:rPr>
          <w:rFonts w:ascii="Times New Roman" w:hAnsi="Times New Roman" w:cs="Times New Roman"/>
        </w:rPr>
        <w:t xml:space="preserve"> [2007] FCA 880 (15 June 2007).</w:t>
      </w:r>
    </w:p>
  </w:footnote>
  <w:footnote w:id="101">
    <w:p w:rsidR="00EE7839" w:rsidRPr="00F10B96" w:rsidRDefault="00EE7839">
      <w:pPr>
        <w:pStyle w:val="FootnoteText"/>
        <w:rPr>
          <w:rFonts w:ascii="Times New Roman" w:hAnsi="Times New Roman" w:cs="Times New Roman"/>
        </w:rPr>
      </w:pPr>
      <w:r w:rsidRPr="00F10B96">
        <w:rPr>
          <w:rStyle w:val="FootnoteReference"/>
        </w:rPr>
        <w:footnoteRef/>
      </w:r>
      <w:r w:rsidRPr="00F10B96">
        <w:rPr>
          <w:rFonts w:ascii="Times New Roman" w:hAnsi="Times New Roman" w:cs="Times New Roman"/>
        </w:rPr>
        <w:t xml:space="preserve"> </w:t>
      </w:r>
      <w:proofErr w:type="spellStart"/>
      <w:r>
        <w:rPr>
          <w:rFonts w:ascii="Times New Roman" w:hAnsi="Times New Roman" w:cs="Times New Roman"/>
          <w:i/>
        </w:rPr>
        <w:t>Dudinski</w:t>
      </w:r>
      <w:proofErr w:type="spellEnd"/>
      <w:r>
        <w:rPr>
          <w:rFonts w:ascii="Times New Roman" w:hAnsi="Times New Roman" w:cs="Times New Roman"/>
          <w:i/>
        </w:rPr>
        <w:t xml:space="preserve"> v Griffith University </w:t>
      </w:r>
      <w:r>
        <w:rPr>
          <w:rFonts w:ascii="Times New Roman" w:hAnsi="Times New Roman" w:cs="Times New Roman"/>
        </w:rPr>
        <w:t>[1999] FCA 740</w:t>
      </w:r>
    </w:p>
  </w:footnote>
  <w:footnote w:id="102">
    <w:p w:rsidR="00EE7839" w:rsidRPr="00250A2E" w:rsidRDefault="00EE7839">
      <w:pPr>
        <w:pStyle w:val="FootnoteText"/>
        <w:rPr>
          <w:i/>
        </w:rPr>
      </w:pPr>
      <w:r>
        <w:rPr>
          <w:rStyle w:val="FootnoteReference"/>
        </w:rPr>
        <w:footnoteRef/>
      </w:r>
      <w:r w:rsidRPr="00250A2E">
        <w:rPr>
          <w:rFonts w:ascii="Times New Roman" w:hAnsi="Times New Roman" w:cs="Times New Roman"/>
        </w:rPr>
        <w:t>(CTH)</w:t>
      </w:r>
      <w:r>
        <w:rPr>
          <w:rFonts w:ascii="Times New Roman" w:hAnsi="Times New Roman" w:cs="Times New Roman"/>
        </w:rPr>
        <w:t xml:space="preserve"> </w:t>
      </w:r>
      <w:r w:rsidRPr="00250A2E">
        <w:rPr>
          <w:rFonts w:ascii="Times New Roman" w:hAnsi="Times New Roman" w:cs="Times New Roman"/>
          <w:i/>
        </w:rPr>
        <w:t>Disabil</w:t>
      </w:r>
      <w:r>
        <w:rPr>
          <w:rFonts w:ascii="Times New Roman" w:hAnsi="Times New Roman" w:cs="Times New Roman"/>
          <w:i/>
        </w:rPr>
        <w:t xml:space="preserve">ity Discrimination Act 1992, </w:t>
      </w:r>
      <w:proofErr w:type="spellStart"/>
      <w:r>
        <w:rPr>
          <w:rFonts w:ascii="Times New Roman" w:hAnsi="Times New Roman" w:cs="Times New Roman"/>
          <w:i/>
        </w:rPr>
        <w:t>ss</w:t>
      </w:r>
      <w:proofErr w:type="spellEnd"/>
      <w:r>
        <w:rPr>
          <w:rFonts w:ascii="Times New Roman" w:hAnsi="Times New Roman" w:cs="Times New Roman"/>
          <w:i/>
        </w:rPr>
        <w:t xml:space="preserve"> </w:t>
      </w:r>
      <w:r w:rsidRPr="00250A2E">
        <w:rPr>
          <w:rFonts w:ascii="Times New Roman" w:hAnsi="Times New Roman" w:cs="Times New Roman"/>
          <w:i/>
        </w:rPr>
        <w:t>5 &amp; 6.</w:t>
      </w:r>
    </w:p>
  </w:footnote>
  <w:footnote w:id="103">
    <w:p w:rsidR="00EE7839" w:rsidRPr="0042652F" w:rsidRDefault="00EE7839">
      <w:pPr>
        <w:pStyle w:val="FootnoteText"/>
        <w:rPr>
          <w:rFonts w:ascii="Times New Roman" w:hAnsi="Times New Roman" w:cs="Times New Roman"/>
          <w:i/>
        </w:rPr>
      </w:pPr>
      <w:r w:rsidRPr="0042652F">
        <w:rPr>
          <w:rStyle w:val="FootnoteReference"/>
        </w:rPr>
        <w:footnoteRef/>
      </w:r>
      <w:r w:rsidRPr="0042652F">
        <w:rPr>
          <w:rFonts w:ascii="Times New Roman" w:hAnsi="Times New Roman" w:cs="Times New Roman"/>
        </w:rPr>
        <w:t xml:space="preserve"> For a comprehensive discussion of students’ actions in discrimination against their universities, see </w:t>
      </w:r>
      <w:proofErr w:type="spellStart"/>
      <w:r w:rsidRPr="0042652F">
        <w:rPr>
          <w:rFonts w:ascii="Times New Roman" w:hAnsi="Times New Roman" w:cs="Times New Roman"/>
        </w:rPr>
        <w:t>Varnham</w:t>
      </w:r>
      <w:proofErr w:type="spellEnd"/>
      <w:r w:rsidRPr="0042652F">
        <w:rPr>
          <w:rFonts w:ascii="Times New Roman" w:hAnsi="Times New Roman" w:cs="Times New Roman"/>
        </w:rPr>
        <w:t xml:space="preserve"> S &amp; </w:t>
      </w:r>
      <w:proofErr w:type="spellStart"/>
      <w:r w:rsidRPr="0042652F">
        <w:rPr>
          <w:rFonts w:ascii="Times New Roman" w:hAnsi="Times New Roman" w:cs="Times New Roman"/>
        </w:rPr>
        <w:t>Kamvounias</w:t>
      </w:r>
      <w:proofErr w:type="spellEnd"/>
      <w:r w:rsidRPr="0042652F">
        <w:rPr>
          <w:rFonts w:ascii="Times New Roman" w:hAnsi="Times New Roman" w:cs="Times New Roman"/>
        </w:rPr>
        <w:t xml:space="preserve"> P</w:t>
      </w:r>
      <w:r>
        <w:rPr>
          <w:rFonts w:ascii="Times New Roman" w:hAnsi="Times New Roman" w:cs="Times New Roman"/>
        </w:rPr>
        <w:t>, ‘</w:t>
      </w:r>
      <w:r w:rsidRPr="0042652F">
        <w:rPr>
          <w:rFonts w:ascii="Times New Roman" w:hAnsi="Times New Roman" w:cs="Times New Roman"/>
        </w:rPr>
        <w:t>Unfair, Unlawful, Or Just Unhappy? Issues Surrounding Complaints of Discriminati</w:t>
      </w:r>
      <w:r>
        <w:rPr>
          <w:rFonts w:ascii="Times New Roman" w:hAnsi="Times New Roman" w:cs="Times New Roman"/>
        </w:rPr>
        <w:t>on Made by Students a</w:t>
      </w:r>
      <w:r w:rsidRPr="0042652F">
        <w:rPr>
          <w:rFonts w:ascii="Times New Roman" w:hAnsi="Times New Roman" w:cs="Times New Roman"/>
        </w:rPr>
        <w:t>gainst Their Universities in Australia</w:t>
      </w:r>
      <w:r>
        <w:rPr>
          <w:rFonts w:ascii="Times New Roman" w:hAnsi="Times New Roman" w:cs="Times New Roman"/>
        </w:rPr>
        <w:t>’</w:t>
      </w:r>
      <w:r w:rsidRPr="0042652F">
        <w:rPr>
          <w:rFonts w:ascii="Times New Roman" w:hAnsi="Times New Roman" w:cs="Times New Roman"/>
        </w:rPr>
        <w:t xml:space="preserve"> (2009) 14(1)</w:t>
      </w:r>
      <w:r>
        <w:rPr>
          <w:rFonts w:ascii="Times New Roman" w:hAnsi="Times New Roman" w:cs="Times New Roman"/>
        </w:rPr>
        <w:t xml:space="preserve"> </w:t>
      </w:r>
      <w:r w:rsidRPr="0042652F">
        <w:rPr>
          <w:rFonts w:ascii="Times New Roman" w:hAnsi="Times New Roman" w:cs="Times New Roman"/>
          <w:i/>
        </w:rPr>
        <w:t>International Journal of Law and Education,</w:t>
      </w:r>
      <w:r>
        <w:rPr>
          <w:rFonts w:ascii="Times New Roman" w:hAnsi="Times New Roman" w:cs="Times New Roman"/>
          <w:i/>
        </w:rPr>
        <w:t xml:space="preserve"> </w:t>
      </w:r>
      <w:r w:rsidRPr="0042652F">
        <w:rPr>
          <w:rFonts w:ascii="Times New Roman" w:hAnsi="Times New Roman" w:cs="Times New Roman"/>
          <w:i/>
        </w:rPr>
        <w:t xml:space="preserve">5-22. </w:t>
      </w:r>
    </w:p>
  </w:footnote>
  <w:footnote w:id="104">
    <w:p w:rsidR="00EE7839" w:rsidRPr="00417055" w:rsidRDefault="00EE7839" w:rsidP="00417055">
      <w:pPr>
        <w:spacing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For a</w:t>
      </w:r>
      <w:r w:rsidRPr="007945BD">
        <w:rPr>
          <w:rFonts w:ascii="Times New Roman" w:hAnsi="Times New Roman" w:cs="Times New Roman"/>
          <w:sz w:val="20"/>
          <w:szCs w:val="20"/>
        </w:rPr>
        <w:t xml:space="preserve"> report on university grievance and misconduct matters </w:t>
      </w:r>
      <w:r>
        <w:rPr>
          <w:rFonts w:ascii="Times New Roman" w:hAnsi="Times New Roman" w:cs="Times New Roman"/>
          <w:sz w:val="20"/>
          <w:szCs w:val="20"/>
        </w:rPr>
        <w:t xml:space="preserve">in Australia, </w:t>
      </w:r>
      <w:r w:rsidRPr="007945BD">
        <w:rPr>
          <w:rFonts w:ascii="Times New Roman" w:hAnsi="Times New Roman" w:cs="Times New Roman"/>
          <w:sz w:val="20"/>
          <w:szCs w:val="20"/>
        </w:rPr>
        <w:t xml:space="preserve">see ‘Student grievances and discipline matters: Final Report’ and ‘ Good Practice Guide for handling complaints and appeals in Australian universities’ (2009) Jackson J, Fleming H, </w:t>
      </w:r>
      <w:proofErr w:type="spellStart"/>
      <w:r w:rsidRPr="007945BD">
        <w:rPr>
          <w:rFonts w:ascii="Times New Roman" w:hAnsi="Times New Roman" w:cs="Times New Roman"/>
          <w:sz w:val="20"/>
          <w:szCs w:val="20"/>
        </w:rPr>
        <w:t>Kamvounias</w:t>
      </w:r>
      <w:proofErr w:type="spellEnd"/>
      <w:r w:rsidRPr="007945BD">
        <w:rPr>
          <w:rFonts w:ascii="Times New Roman" w:hAnsi="Times New Roman" w:cs="Times New Roman"/>
          <w:sz w:val="20"/>
          <w:szCs w:val="20"/>
        </w:rPr>
        <w:t xml:space="preserve"> P</w:t>
      </w:r>
      <w:r>
        <w:rPr>
          <w:rFonts w:ascii="Times New Roman" w:hAnsi="Times New Roman" w:cs="Times New Roman"/>
          <w:sz w:val="20"/>
          <w:szCs w:val="20"/>
        </w:rPr>
        <w:t xml:space="preserve"> and </w:t>
      </w:r>
      <w:proofErr w:type="spellStart"/>
      <w:r>
        <w:rPr>
          <w:rFonts w:ascii="Times New Roman" w:hAnsi="Times New Roman" w:cs="Times New Roman"/>
          <w:sz w:val="20"/>
          <w:szCs w:val="20"/>
        </w:rPr>
        <w:t>Varnham</w:t>
      </w:r>
      <w:proofErr w:type="spellEnd"/>
      <w:r>
        <w:rPr>
          <w:rFonts w:ascii="Times New Roman" w:hAnsi="Times New Roman" w:cs="Times New Roman"/>
          <w:sz w:val="20"/>
          <w:szCs w:val="20"/>
        </w:rPr>
        <w:t xml:space="preserve"> S.  Accessed </w:t>
      </w:r>
      <w:hyperlink r:id="rId20" w:history="1">
        <w:r w:rsidRPr="00A8509A">
          <w:rPr>
            <w:rStyle w:val="Hyperlink"/>
            <w:sz w:val="20"/>
            <w:szCs w:val="20"/>
          </w:rPr>
          <w:t>www.olt.gov.au</w:t>
        </w:r>
      </w:hyperlink>
      <w:r>
        <w:rPr>
          <w:rFonts w:ascii="Times New Roman" w:hAnsi="Times New Roman" w:cs="Times New Roman"/>
          <w:sz w:val="20"/>
          <w:szCs w:val="20"/>
        </w:rPr>
        <w:t xml:space="preserve"> (</w:t>
      </w:r>
      <w:r w:rsidRPr="007945BD">
        <w:rPr>
          <w:rFonts w:ascii="Times New Roman" w:hAnsi="Times New Roman" w:cs="Times New Roman"/>
          <w:sz w:val="20"/>
          <w:szCs w:val="20"/>
        </w:rPr>
        <w:t>the Office of Learning and Te</w:t>
      </w:r>
      <w:r>
        <w:rPr>
          <w:rFonts w:ascii="Times New Roman" w:hAnsi="Times New Roman" w:cs="Times New Roman"/>
          <w:sz w:val="20"/>
          <w:szCs w:val="20"/>
        </w:rPr>
        <w:t>aching website).</w:t>
      </w:r>
    </w:p>
  </w:footnote>
  <w:footnote w:id="105">
    <w:p w:rsidR="00EE7839" w:rsidRPr="00F4230F" w:rsidRDefault="00EE7839" w:rsidP="000E4BC2">
      <w:pPr>
        <w:pStyle w:val="FootnoteText"/>
        <w:rPr>
          <w:rFonts w:ascii="Times New Roman" w:hAnsi="Times New Roman" w:cs="Times New Roman"/>
        </w:rPr>
      </w:pPr>
      <w:r w:rsidRPr="00F4230F">
        <w:rPr>
          <w:rStyle w:val="FootnoteReference"/>
        </w:rPr>
        <w:footnoteRef/>
      </w:r>
      <w:r w:rsidRPr="00F4230F">
        <w:rPr>
          <w:rFonts w:ascii="Times New Roman" w:hAnsi="Times New Roman" w:cs="Times New Roman"/>
        </w:rPr>
        <w:t xml:space="preserve"> One of the possible unintended consequences was reported in a national newspaper as helping private providers as ‘an increasing pool of would-be students rejects universities’.  Tim Jordan of Think Education is quoted as saying ‘Students are not enjoying sitting in a 1000-seat hall without access to a lecturer’ </w:t>
      </w:r>
      <w:r w:rsidRPr="00F4230F">
        <w:rPr>
          <w:rFonts w:ascii="Times New Roman" w:hAnsi="Times New Roman" w:cs="Times New Roman"/>
          <w:i/>
        </w:rPr>
        <w:t xml:space="preserve">The Australian, </w:t>
      </w:r>
      <w:r w:rsidRPr="00F4230F">
        <w:rPr>
          <w:rFonts w:ascii="Times New Roman" w:hAnsi="Times New Roman" w:cs="Times New Roman"/>
        </w:rPr>
        <w:t>25 July 2012.</w:t>
      </w:r>
    </w:p>
  </w:footnote>
  <w:footnote w:id="106">
    <w:p w:rsidR="00EE7839" w:rsidRPr="00C41BE2" w:rsidRDefault="00EE7839">
      <w:pPr>
        <w:pStyle w:val="FootnoteText"/>
        <w:rPr>
          <w:rFonts w:ascii="Times New Roman" w:hAnsi="Times New Roman" w:cs="Times New Roman"/>
        </w:rPr>
      </w:pPr>
      <w:r w:rsidRPr="00C41BE2">
        <w:rPr>
          <w:rStyle w:val="FootnoteReference"/>
        </w:rPr>
        <w:footnoteRef/>
      </w:r>
      <w:r w:rsidRPr="00C41BE2">
        <w:rPr>
          <w:rFonts w:ascii="Times New Roman" w:hAnsi="Times New Roman" w:cs="Times New Roman"/>
        </w:rPr>
        <w:t xml:space="preserve"> Dr Carol </w:t>
      </w:r>
      <w:proofErr w:type="spellStart"/>
      <w:r w:rsidRPr="00C41BE2">
        <w:rPr>
          <w:rFonts w:ascii="Times New Roman" w:hAnsi="Times New Roman" w:cs="Times New Roman"/>
        </w:rPr>
        <w:t>Nicholl</w:t>
      </w:r>
      <w:proofErr w:type="spellEnd"/>
      <w:r w:rsidRPr="00C41BE2">
        <w:rPr>
          <w:rFonts w:ascii="Times New Roman" w:hAnsi="Times New Roman" w:cs="Times New Roman"/>
        </w:rPr>
        <w:t>, “Higher Education: Risky Business?” Q &amp; A Academic Board Forum, University of Technology, Sydney, 26 July 2012.</w:t>
      </w:r>
    </w:p>
  </w:footnote>
  <w:footnote w:id="107">
    <w:p w:rsidR="00EE7839" w:rsidRPr="00A2190C" w:rsidRDefault="00EE7839">
      <w:pPr>
        <w:pStyle w:val="FootnoteText"/>
        <w:rPr>
          <w:rFonts w:ascii="Times New Roman" w:hAnsi="Times New Roman" w:cs="Times New Roman"/>
        </w:rPr>
      </w:pPr>
      <w:r w:rsidRPr="00A2190C">
        <w:rPr>
          <w:rStyle w:val="FootnoteReference"/>
        </w:rPr>
        <w:footnoteRef/>
      </w:r>
      <w:r>
        <w:rPr>
          <w:rFonts w:ascii="Times New Roman" w:hAnsi="Times New Roman" w:cs="Times New Roman"/>
        </w:rPr>
        <w:t xml:space="preserve"> n 21</w:t>
      </w:r>
      <w:r w:rsidRPr="00A2190C">
        <w:rPr>
          <w:rFonts w:ascii="Times New Roman" w:hAnsi="Times New Roman" w:cs="Times New Roman"/>
        </w:rPr>
        <w:t>.</w:t>
      </w:r>
    </w:p>
  </w:footnote>
  <w:footnote w:id="108">
    <w:p w:rsidR="00EE7839" w:rsidRPr="005424F1" w:rsidRDefault="00EE7839">
      <w:pPr>
        <w:pStyle w:val="FootnoteText"/>
        <w:rPr>
          <w:rFonts w:ascii="Times New Roman" w:hAnsi="Times New Roman" w:cs="Times New Roman"/>
        </w:rPr>
      </w:pPr>
      <w:r w:rsidRPr="005424F1">
        <w:rPr>
          <w:rStyle w:val="FootnoteReference"/>
        </w:rPr>
        <w:footnoteRef/>
      </w:r>
      <w:r w:rsidRPr="005424F1">
        <w:rPr>
          <w:rFonts w:ascii="Times New Roman" w:hAnsi="Times New Roman" w:cs="Times New Roman"/>
        </w:rPr>
        <w:t xml:space="preserve"> </w:t>
      </w:r>
      <w:r w:rsidRPr="005424F1">
        <w:rPr>
          <w:rFonts w:ascii="Times New Roman" w:hAnsi="Times New Roman" w:cs="Times New Roman"/>
          <w:i/>
        </w:rPr>
        <w:t xml:space="preserve">“Graduate Winners: Assessing the public and private benefits of higher education’ </w:t>
      </w:r>
      <w:r w:rsidRPr="005424F1">
        <w:rPr>
          <w:rFonts w:ascii="Times New Roman" w:hAnsi="Times New Roman" w:cs="Times New Roman"/>
        </w:rPr>
        <w:t>Andrew Norton, Grattan Institute, Australia, August 2012.</w:t>
      </w:r>
    </w:p>
  </w:footnote>
  <w:footnote w:id="109">
    <w:p w:rsidR="00EE7839" w:rsidRPr="00F10B96" w:rsidRDefault="00EE7839">
      <w:pPr>
        <w:pStyle w:val="FootnoteText"/>
        <w:rPr>
          <w:rFonts w:ascii="Times New Roman" w:hAnsi="Times New Roman" w:cs="Times New Roman"/>
        </w:rPr>
      </w:pPr>
      <w:r w:rsidRPr="00F10B96">
        <w:rPr>
          <w:rStyle w:val="FootnoteReference"/>
        </w:rPr>
        <w:footnoteRef/>
      </w:r>
      <w:r w:rsidRPr="00F10B96">
        <w:rPr>
          <w:rFonts w:ascii="Times New Roman" w:hAnsi="Times New Roman" w:cs="Times New Roman"/>
        </w:rPr>
        <w:t xml:space="preserve"> Media Release, ‘</w:t>
      </w:r>
      <w:r w:rsidRPr="00F10B96">
        <w:rPr>
          <w:rFonts w:ascii="Times New Roman" w:hAnsi="Times New Roman" w:cs="Times New Roman"/>
          <w:i/>
        </w:rPr>
        <w:t xml:space="preserve">Graduate Winners should pay more’, </w:t>
      </w:r>
      <w:r w:rsidRPr="00F10B96">
        <w:rPr>
          <w:rFonts w:ascii="Times New Roman" w:hAnsi="Times New Roman" w:cs="Times New Roman"/>
        </w:rPr>
        <w:t>Grattan Institute, Australia, 5 August 2012.</w:t>
      </w:r>
    </w:p>
  </w:footnote>
  <w:footnote w:id="110">
    <w:p w:rsidR="00EE7839" w:rsidRPr="009736AD" w:rsidRDefault="00EE7839">
      <w:pPr>
        <w:pStyle w:val="FootnoteText"/>
        <w:rPr>
          <w:rFonts w:ascii="Times New Roman" w:hAnsi="Times New Roman" w:cs="Times New Roman"/>
          <w:i/>
        </w:rPr>
      </w:pPr>
      <w:r w:rsidRPr="009736AD">
        <w:rPr>
          <w:rStyle w:val="FootnoteReference"/>
        </w:rPr>
        <w:footnoteRef/>
      </w:r>
      <w:r w:rsidRPr="009736AD">
        <w:rPr>
          <w:rFonts w:ascii="Times New Roman" w:hAnsi="Times New Roman" w:cs="Times New Roman"/>
        </w:rPr>
        <w:t xml:space="preserve"> ‘</w:t>
      </w:r>
      <w:r w:rsidRPr="009736AD">
        <w:rPr>
          <w:rFonts w:ascii="Times New Roman" w:hAnsi="Times New Roman" w:cs="Times New Roman"/>
          <w:i/>
        </w:rPr>
        <w:t xml:space="preserve">Uni study grants ‘no benefit’ to public’, The Australian, </w:t>
      </w:r>
      <w:r w:rsidRPr="009736AD">
        <w:rPr>
          <w:rFonts w:ascii="Times New Roman" w:hAnsi="Times New Roman" w:cs="Times New Roman"/>
        </w:rPr>
        <w:t>6 August 2012.</w:t>
      </w:r>
      <w:r w:rsidRPr="009736AD">
        <w:rPr>
          <w:rFonts w:ascii="Times New Roman" w:hAnsi="Times New Roman" w:cs="Times New Roman"/>
          <w:i/>
        </w:rPr>
        <w:t xml:space="preserve"> </w:t>
      </w:r>
    </w:p>
  </w:footnote>
  <w:footnote w:id="111">
    <w:p w:rsidR="00EE7839" w:rsidRPr="0036551F" w:rsidRDefault="00EE7839">
      <w:pPr>
        <w:pStyle w:val="FootnoteText"/>
        <w:rPr>
          <w:rFonts w:ascii="Times New Roman" w:hAnsi="Times New Roman" w:cs="Times New Roman"/>
        </w:rPr>
      </w:pPr>
      <w:r w:rsidRPr="0036551F">
        <w:rPr>
          <w:rStyle w:val="FootnoteReference"/>
        </w:rPr>
        <w:footnoteRef/>
      </w:r>
      <w:r w:rsidRPr="0036551F">
        <w:rPr>
          <w:rFonts w:ascii="Times New Roman" w:hAnsi="Times New Roman" w:cs="Times New Roman"/>
        </w:rPr>
        <w:t xml:space="preserve"> Professor Stephen </w:t>
      </w:r>
      <w:proofErr w:type="spellStart"/>
      <w:r w:rsidRPr="0036551F">
        <w:rPr>
          <w:rFonts w:ascii="Times New Roman" w:hAnsi="Times New Roman" w:cs="Times New Roman"/>
        </w:rPr>
        <w:t>Parker</w:t>
      </w:r>
      <w:r w:rsidRPr="0036551F">
        <w:rPr>
          <w:rFonts w:ascii="Times New Roman" w:hAnsi="Times New Roman" w:cs="Times New Roman"/>
          <w:i/>
        </w:rPr>
        <w:t>‘Time</w:t>
      </w:r>
      <w:proofErr w:type="spellEnd"/>
      <w:r w:rsidRPr="0036551F">
        <w:rPr>
          <w:rFonts w:ascii="Times New Roman" w:hAnsi="Times New Roman" w:cs="Times New Roman"/>
          <w:i/>
        </w:rPr>
        <w:t xml:space="preserve"> to trade in a well-worn university model’ Campus Review </w:t>
      </w:r>
      <w:r w:rsidRPr="0036551F">
        <w:rPr>
          <w:rFonts w:ascii="Times New Roman" w:hAnsi="Times New Roman" w:cs="Times New Roman"/>
        </w:rPr>
        <w:t>2 October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39" w:rsidRDefault="00EE78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39" w:rsidRDefault="00EE7839">
    <w:pPr>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39" w:rsidRDefault="00EE783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39" w:rsidRDefault="00EE7839">
    <w:pPr>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39" w:rsidRDefault="00EE7839">
    <w:pPr>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39" w:rsidRDefault="00EE7839">
    <w:pPr>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EE7839" w:rsidRDefault="00EE7839">
    <w:pPr>
      <w:suppressAutoHyphens/>
      <w:jc w:val="center"/>
      <w:rPr>
        <w:rFonts w:ascii="Times New Roman" w:hAnsi="Times New Roman" w:cs="Times New Roman"/>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39" w:rsidRDefault="00EE7839">
    <w:pPr>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BC3"/>
    <w:multiLevelType w:val="hybridMultilevel"/>
    <w:tmpl w:val="644C3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0D7B8F"/>
    <w:multiLevelType w:val="hybridMultilevel"/>
    <w:tmpl w:val="5C6295A2"/>
    <w:lvl w:ilvl="0" w:tplc="96687D1E">
      <w:start w:val="5"/>
      <w:numFmt w:val="bullet"/>
      <w:lvlText w:val="-"/>
      <w:lvlJc w:val="left"/>
      <w:pPr>
        <w:ind w:left="1320" w:hanging="360"/>
      </w:pPr>
      <w:rPr>
        <w:rFonts w:ascii="Times New Roman" w:eastAsia="Times New Roman" w:hAnsi="Times New Roman"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0AD8315D"/>
    <w:multiLevelType w:val="hybridMultilevel"/>
    <w:tmpl w:val="F1CCDF7A"/>
    <w:lvl w:ilvl="0" w:tplc="8A0214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A01FA6"/>
    <w:multiLevelType w:val="hybridMultilevel"/>
    <w:tmpl w:val="8BC2F7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0B30B9"/>
    <w:multiLevelType w:val="hybridMultilevel"/>
    <w:tmpl w:val="15BC3E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4627D03"/>
    <w:multiLevelType w:val="hybridMultilevel"/>
    <w:tmpl w:val="980217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9530E5E"/>
    <w:multiLevelType w:val="hybridMultilevel"/>
    <w:tmpl w:val="FAC4F43A"/>
    <w:lvl w:ilvl="0" w:tplc="A0A8C5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2241A1C"/>
    <w:multiLevelType w:val="multilevel"/>
    <w:tmpl w:val="9EFE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5B61256"/>
    <w:multiLevelType w:val="hybridMultilevel"/>
    <w:tmpl w:val="15BC3E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AF56A5D"/>
    <w:multiLevelType w:val="hybridMultilevel"/>
    <w:tmpl w:val="99667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E3C63C2"/>
    <w:multiLevelType w:val="multilevel"/>
    <w:tmpl w:val="9BC6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EFC294E"/>
    <w:multiLevelType w:val="hybridMultilevel"/>
    <w:tmpl w:val="295E4EBC"/>
    <w:lvl w:ilvl="0" w:tplc="0C090001">
      <w:start w:val="1"/>
      <w:numFmt w:val="bullet"/>
      <w:lvlText w:val=""/>
      <w:lvlJc w:val="left"/>
      <w:pPr>
        <w:ind w:left="9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0"/>
  </w:num>
  <w:num w:numId="6">
    <w:abstractNumId w:val="7"/>
  </w:num>
  <w:num w:numId="7">
    <w:abstractNumId w:val="1"/>
  </w:num>
  <w:num w:numId="8">
    <w:abstractNumId w:val="0"/>
  </w:num>
  <w:num w:numId="9">
    <w:abstractNumId w:val="4"/>
  </w:num>
  <w:num w:numId="10">
    <w:abstractNumId w:val="2"/>
  </w:num>
  <w:num w:numId="11">
    <w:abstractNumId w:val="9"/>
  </w:num>
  <w:num w:numId="12">
    <w:abstractNumId w:val="3"/>
  </w:num>
  <w:num w:numId="13">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EF1491"/>
    <w:rsid w:val="00004C4A"/>
    <w:rsid w:val="00021422"/>
    <w:rsid w:val="0003553D"/>
    <w:rsid w:val="000410F9"/>
    <w:rsid w:val="00047F43"/>
    <w:rsid w:val="00055D7E"/>
    <w:rsid w:val="000634CB"/>
    <w:rsid w:val="000651F4"/>
    <w:rsid w:val="00076F92"/>
    <w:rsid w:val="00082027"/>
    <w:rsid w:val="00095083"/>
    <w:rsid w:val="000A55E8"/>
    <w:rsid w:val="000B5F38"/>
    <w:rsid w:val="000C5081"/>
    <w:rsid w:val="000D0807"/>
    <w:rsid w:val="000E0186"/>
    <w:rsid w:val="000E02AE"/>
    <w:rsid w:val="000E0E74"/>
    <w:rsid w:val="000E3D65"/>
    <w:rsid w:val="000E4BC2"/>
    <w:rsid w:val="000F527D"/>
    <w:rsid w:val="00115C90"/>
    <w:rsid w:val="00125BEB"/>
    <w:rsid w:val="00126708"/>
    <w:rsid w:val="001372A6"/>
    <w:rsid w:val="00145709"/>
    <w:rsid w:val="001512A1"/>
    <w:rsid w:val="00164DEA"/>
    <w:rsid w:val="001B58BE"/>
    <w:rsid w:val="001D4460"/>
    <w:rsid w:val="001F30BC"/>
    <w:rsid w:val="00203C58"/>
    <w:rsid w:val="002062EB"/>
    <w:rsid w:val="00210B85"/>
    <w:rsid w:val="002111D9"/>
    <w:rsid w:val="0022498E"/>
    <w:rsid w:val="00234267"/>
    <w:rsid w:val="002424DD"/>
    <w:rsid w:val="00250A2E"/>
    <w:rsid w:val="00255CFB"/>
    <w:rsid w:val="002674C6"/>
    <w:rsid w:val="002732F9"/>
    <w:rsid w:val="002754F7"/>
    <w:rsid w:val="002846D6"/>
    <w:rsid w:val="0028720C"/>
    <w:rsid w:val="002926E0"/>
    <w:rsid w:val="002B631C"/>
    <w:rsid w:val="002C4C29"/>
    <w:rsid w:val="002C5E93"/>
    <w:rsid w:val="002C7963"/>
    <w:rsid w:val="002E281B"/>
    <w:rsid w:val="002E6CFD"/>
    <w:rsid w:val="002E6D6C"/>
    <w:rsid w:val="002F559D"/>
    <w:rsid w:val="002F635B"/>
    <w:rsid w:val="00300232"/>
    <w:rsid w:val="0032019B"/>
    <w:rsid w:val="00323790"/>
    <w:rsid w:val="00327890"/>
    <w:rsid w:val="003367FA"/>
    <w:rsid w:val="00337042"/>
    <w:rsid w:val="00355072"/>
    <w:rsid w:val="00361C1B"/>
    <w:rsid w:val="0036339D"/>
    <w:rsid w:val="0036551F"/>
    <w:rsid w:val="00377F42"/>
    <w:rsid w:val="00386920"/>
    <w:rsid w:val="00390850"/>
    <w:rsid w:val="003913DE"/>
    <w:rsid w:val="003A737B"/>
    <w:rsid w:val="003B2D85"/>
    <w:rsid w:val="003B6CCC"/>
    <w:rsid w:val="003D56B9"/>
    <w:rsid w:val="003D7CA6"/>
    <w:rsid w:val="003F0606"/>
    <w:rsid w:val="003F36E3"/>
    <w:rsid w:val="003F557C"/>
    <w:rsid w:val="00401DA0"/>
    <w:rsid w:val="00402B6A"/>
    <w:rsid w:val="00416CFA"/>
    <w:rsid w:val="00417055"/>
    <w:rsid w:val="0042652F"/>
    <w:rsid w:val="00432C13"/>
    <w:rsid w:val="0044502F"/>
    <w:rsid w:val="00452918"/>
    <w:rsid w:val="00462C2E"/>
    <w:rsid w:val="00480C60"/>
    <w:rsid w:val="004A31FB"/>
    <w:rsid w:val="004B778F"/>
    <w:rsid w:val="004C4043"/>
    <w:rsid w:val="004C4A0C"/>
    <w:rsid w:val="004E0CDD"/>
    <w:rsid w:val="004E7804"/>
    <w:rsid w:val="004F2602"/>
    <w:rsid w:val="004F4473"/>
    <w:rsid w:val="005003BE"/>
    <w:rsid w:val="005010EA"/>
    <w:rsid w:val="00501866"/>
    <w:rsid w:val="005019E7"/>
    <w:rsid w:val="00511AC2"/>
    <w:rsid w:val="00524F58"/>
    <w:rsid w:val="00532A84"/>
    <w:rsid w:val="00534E9C"/>
    <w:rsid w:val="005424F1"/>
    <w:rsid w:val="00582F60"/>
    <w:rsid w:val="00583DA3"/>
    <w:rsid w:val="00587B26"/>
    <w:rsid w:val="005916DC"/>
    <w:rsid w:val="005A3C75"/>
    <w:rsid w:val="005B2BD3"/>
    <w:rsid w:val="005B6D11"/>
    <w:rsid w:val="005D29B2"/>
    <w:rsid w:val="005D3522"/>
    <w:rsid w:val="005F16D1"/>
    <w:rsid w:val="005F6C1C"/>
    <w:rsid w:val="00602838"/>
    <w:rsid w:val="006130B4"/>
    <w:rsid w:val="00613D7C"/>
    <w:rsid w:val="006145F6"/>
    <w:rsid w:val="006150C8"/>
    <w:rsid w:val="00617B73"/>
    <w:rsid w:val="00625351"/>
    <w:rsid w:val="0064781A"/>
    <w:rsid w:val="00670568"/>
    <w:rsid w:val="0067455C"/>
    <w:rsid w:val="006926F6"/>
    <w:rsid w:val="006955ED"/>
    <w:rsid w:val="00695F6B"/>
    <w:rsid w:val="006A02E7"/>
    <w:rsid w:val="006C5031"/>
    <w:rsid w:val="006C5E99"/>
    <w:rsid w:val="006C67CE"/>
    <w:rsid w:val="006D1216"/>
    <w:rsid w:val="006E2530"/>
    <w:rsid w:val="006F7D49"/>
    <w:rsid w:val="0070474A"/>
    <w:rsid w:val="007102FE"/>
    <w:rsid w:val="00731F04"/>
    <w:rsid w:val="00736417"/>
    <w:rsid w:val="00751572"/>
    <w:rsid w:val="00760374"/>
    <w:rsid w:val="00762FAB"/>
    <w:rsid w:val="0076484C"/>
    <w:rsid w:val="00792B2B"/>
    <w:rsid w:val="00792F16"/>
    <w:rsid w:val="007945BD"/>
    <w:rsid w:val="00796162"/>
    <w:rsid w:val="007A152E"/>
    <w:rsid w:val="007B4843"/>
    <w:rsid w:val="007C682C"/>
    <w:rsid w:val="007D056D"/>
    <w:rsid w:val="007D1CF3"/>
    <w:rsid w:val="007D31BF"/>
    <w:rsid w:val="007D4900"/>
    <w:rsid w:val="007E552C"/>
    <w:rsid w:val="007E76A2"/>
    <w:rsid w:val="007F1C05"/>
    <w:rsid w:val="007F6E2F"/>
    <w:rsid w:val="00801175"/>
    <w:rsid w:val="00812C31"/>
    <w:rsid w:val="008142E8"/>
    <w:rsid w:val="00814390"/>
    <w:rsid w:val="00817B42"/>
    <w:rsid w:val="00822AC1"/>
    <w:rsid w:val="00873456"/>
    <w:rsid w:val="008803FC"/>
    <w:rsid w:val="008957CC"/>
    <w:rsid w:val="008A021B"/>
    <w:rsid w:val="008A5D13"/>
    <w:rsid w:val="008B00EC"/>
    <w:rsid w:val="008B38E8"/>
    <w:rsid w:val="008B45B3"/>
    <w:rsid w:val="008C0731"/>
    <w:rsid w:val="008D2EE4"/>
    <w:rsid w:val="008D7BA6"/>
    <w:rsid w:val="008E7D15"/>
    <w:rsid w:val="008F1AE2"/>
    <w:rsid w:val="00902974"/>
    <w:rsid w:val="00904AC3"/>
    <w:rsid w:val="009259AA"/>
    <w:rsid w:val="009334D5"/>
    <w:rsid w:val="00937AC3"/>
    <w:rsid w:val="0094158E"/>
    <w:rsid w:val="00961513"/>
    <w:rsid w:val="00966376"/>
    <w:rsid w:val="00967151"/>
    <w:rsid w:val="009736AD"/>
    <w:rsid w:val="00997679"/>
    <w:rsid w:val="009A732B"/>
    <w:rsid w:val="009B3EB1"/>
    <w:rsid w:val="009B76C7"/>
    <w:rsid w:val="009C0308"/>
    <w:rsid w:val="009C29F1"/>
    <w:rsid w:val="009C6449"/>
    <w:rsid w:val="009D154F"/>
    <w:rsid w:val="009D520F"/>
    <w:rsid w:val="009E195E"/>
    <w:rsid w:val="009E621E"/>
    <w:rsid w:val="009F1A29"/>
    <w:rsid w:val="00A00A26"/>
    <w:rsid w:val="00A15B15"/>
    <w:rsid w:val="00A2190C"/>
    <w:rsid w:val="00A254A2"/>
    <w:rsid w:val="00A33C40"/>
    <w:rsid w:val="00A34A3A"/>
    <w:rsid w:val="00A379A3"/>
    <w:rsid w:val="00A52EF3"/>
    <w:rsid w:val="00A64CA3"/>
    <w:rsid w:val="00A728C5"/>
    <w:rsid w:val="00A838CD"/>
    <w:rsid w:val="00A86376"/>
    <w:rsid w:val="00A92A0D"/>
    <w:rsid w:val="00AA5715"/>
    <w:rsid w:val="00AB1561"/>
    <w:rsid w:val="00AB5C98"/>
    <w:rsid w:val="00AC67FB"/>
    <w:rsid w:val="00AD27A2"/>
    <w:rsid w:val="00AE1732"/>
    <w:rsid w:val="00AE292D"/>
    <w:rsid w:val="00AE3BFB"/>
    <w:rsid w:val="00AF4D6D"/>
    <w:rsid w:val="00B105FF"/>
    <w:rsid w:val="00B12A06"/>
    <w:rsid w:val="00B16DE5"/>
    <w:rsid w:val="00B223BC"/>
    <w:rsid w:val="00B26A65"/>
    <w:rsid w:val="00B3755C"/>
    <w:rsid w:val="00B47EC6"/>
    <w:rsid w:val="00B551FF"/>
    <w:rsid w:val="00B6225C"/>
    <w:rsid w:val="00B641B9"/>
    <w:rsid w:val="00B6620A"/>
    <w:rsid w:val="00B950D9"/>
    <w:rsid w:val="00BA210E"/>
    <w:rsid w:val="00BA424F"/>
    <w:rsid w:val="00BA72CE"/>
    <w:rsid w:val="00BC01B0"/>
    <w:rsid w:val="00BD169F"/>
    <w:rsid w:val="00BD7E3B"/>
    <w:rsid w:val="00BE057A"/>
    <w:rsid w:val="00BE07C2"/>
    <w:rsid w:val="00BF3C19"/>
    <w:rsid w:val="00C04498"/>
    <w:rsid w:val="00C0782D"/>
    <w:rsid w:val="00C104C8"/>
    <w:rsid w:val="00C1089C"/>
    <w:rsid w:val="00C21633"/>
    <w:rsid w:val="00C231EB"/>
    <w:rsid w:val="00C26091"/>
    <w:rsid w:val="00C3795C"/>
    <w:rsid w:val="00C41BE2"/>
    <w:rsid w:val="00C41E10"/>
    <w:rsid w:val="00C45E0D"/>
    <w:rsid w:val="00C509BD"/>
    <w:rsid w:val="00C52729"/>
    <w:rsid w:val="00C52EF4"/>
    <w:rsid w:val="00C56DD0"/>
    <w:rsid w:val="00C72F19"/>
    <w:rsid w:val="00C74E89"/>
    <w:rsid w:val="00C92417"/>
    <w:rsid w:val="00C94E26"/>
    <w:rsid w:val="00CA31B0"/>
    <w:rsid w:val="00CC11DA"/>
    <w:rsid w:val="00CC21DB"/>
    <w:rsid w:val="00CC42F3"/>
    <w:rsid w:val="00CC4D7D"/>
    <w:rsid w:val="00CD66F0"/>
    <w:rsid w:val="00CE57CD"/>
    <w:rsid w:val="00CE67F4"/>
    <w:rsid w:val="00CE68C1"/>
    <w:rsid w:val="00CF098E"/>
    <w:rsid w:val="00CF45D4"/>
    <w:rsid w:val="00D42A98"/>
    <w:rsid w:val="00D475B4"/>
    <w:rsid w:val="00D47E1F"/>
    <w:rsid w:val="00D56ABB"/>
    <w:rsid w:val="00D73215"/>
    <w:rsid w:val="00D76273"/>
    <w:rsid w:val="00D92F40"/>
    <w:rsid w:val="00D95E2F"/>
    <w:rsid w:val="00DA32E2"/>
    <w:rsid w:val="00DC1A75"/>
    <w:rsid w:val="00DF622C"/>
    <w:rsid w:val="00E17270"/>
    <w:rsid w:val="00E30DB7"/>
    <w:rsid w:val="00E377CA"/>
    <w:rsid w:val="00E43877"/>
    <w:rsid w:val="00E4393B"/>
    <w:rsid w:val="00E47E47"/>
    <w:rsid w:val="00E60BEB"/>
    <w:rsid w:val="00E62F22"/>
    <w:rsid w:val="00E66A8E"/>
    <w:rsid w:val="00E725E4"/>
    <w:rsid w:val="00E76F0B"/>
    <w:rsid w:val="00E8027A"/>
    <w:rsid w:val="00E92BF1"/>
    <w:rsid w:val="00E93070"/>
    <w:rsid w:val="00EA27EE"/>
    <w:rsid w:val="00EB3C0C"/>
    <w:rsid w:val="00EB3E5F"/>
    <w:rsid w:val="00EC430A"/>
    <w:rsid w:val="00EE6B67"/>
    <w:rsid w:val="00EE7839"/>
    <w:rsid w:val="00EF0ADC"/>
    <w:rsid w:val="00EF1491"/>
    <w:rsid w:val="00F00835"/>
    <w:rsid w:val="00F05600"/>
    <w:rsid w:val="00F10B96"/>
    <w:rsid w:val="00F22C66"/>
    <w:rsid w:val="00F2638C"/>
    <w:rsid w:val="00F33977"/>
    <w:rsid w:val="00F37845"/>
    <w:rsid w:val="00F4230F"/>
    <w:rsid w:val="00F4381A"/>
    <w:rsid w:val="00F50393"/>
    <w:rsid w:val="00F52B7E"/>
    <w:rsid w:val="00F65C6A"/>
    <w:rsid w:val="00F7016A"/>
    <w:rsid w:val="00F74EF6"/>
    <w:rsid w:val="00F7799A"/>
    <w:rsid w:val="00F820EE"/>
    <w:rsid w:val="00F919D3"/>
    <w:rsid w:val="00F93E9A"/>
    <w:rsid w:val="00F9717A"/>
    <w:rsid w:val="00FA16E3"/>
    <w:rsid w:val="00FA4FA5"/>
    <w:rsid w:val="00FA7DB5"/>
    <w:rsid w:val="00FB2198"/>
    <w:rsid w:val="00FB3947"/>
    <w:rsid w:val="00FC1189"/>
    <w:rsid w:val="00FD2E5E"/>
    <w:rsid w:val="00FD33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15"/>
  </w:style>
  <w:style w:type="paragraph" w:styleId="Heading1">
    <w:name w:val="heading 1"/>
    <w:basedOn w:val="Normal"/>
    <w:next w:val="Normal"/>
    <w:link w:val="Heading1Char"/>
    <w:uiPriority w:val="9"/>
    <w:qFormat/>
    <w:rsid w:val="00FA1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3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1491"/>
    <w:pPr>
      <w:spacing w:after="0" w:line="240" w:lineRule="auto"/>
      <w:outlineLvl w:val="2"/>
    </w:pPr>
    <w:rPr>
      <w:rFonts w:ascii="Times New Roman" w:eastAsia="Times New Roman" w:hAnsi="Times New Roman" w:cs="Times New Roman"/>
      <w:color w:val="00499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1491"/>
    <w:rPr>
      <w:rFonts w:ascii="Times New Roman" w:eastAsia="Times New Roman" w:hAnsi="Times New Roman" w:cs="Times New Roman"/>
      <w:color w:val="004990"/>
      <w:sz w:val="15"/>
      <w:szCs w:val="15"/>
      <w:lang w:eastAsia="en-AU"/>
    </w:rPr>
  </w:style>
  <w:style w:type="character" w:styleId="Hyperlink">
    <w:name w:val="Hyperlink"/>
    <w:basedOn w:val="DefaultParagraphFont"/>
    <w:uiPriority w:val="99"/>
    <w:unhideWhenUsed/>
    <w:rsid w:val="00EF1491"/>
    <w:rPr>
      <w:rFonts w:ascii="Times New Roman" w:hAnsi="Times New Roman" w:cs="Times New Roman" w:hint="default"/>
      <w:color w:val="0000FF" w:themeColor="hyperlink"/>
      <w:u w:val="single"/>
    </w:rPr>
  </w:style>
  <w:style w:type="paragraph" w:styleId="BalloonText">
    <w:name w:val="Balloon Text"/>
    <w:basedOn w:val="Normal"/>
    <w:link w:val="BalloonTextChar"/>
    <w:uiPriority w:val="99"/>
    <w:unhideWhenUsed/>
    <w:rsid w:val="00EF1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1491"/>
    <w:rPr>
      <w:rFonts w:ascii="Tahoma" w:hAnsi="Tahoma" w:cs="Tahoma"/>
      <w:sz w:val="16"/>
      <w:szCs w:val="16"/>
    </w:rPr>
  </w:style>
  <w:style w:type="paragraph" w:styleId="FootnoteText">
    <w:name w:val="footnote text"/>
    <w:basedOn w:val="Normal"/>
    <w:link w:val="FootnoteTextChar"/>
    <w:uiPriority w:val="99"/>
    <w:rsid w:val="00EF1491"/>
    <w:pPr>
      <w:widowControl w:val="0"/>
      <w:autoSpaceDE w:val="0"/>
      <w:autoSpaceDN w:val="0"/>
      <w:adjustRightInd w:val="0"/>
      <w:spacing w:after="0" w:line="240" w:lineRule="auto"/>
    </w:pPr>
    <w:rPr>
      <w:rFonts w:ascii="Courier" w:eastAsia="Times New Roman" w:hAnsi="Courier" w:cs="Courier"/>
      <w:sz w:val="20"/>
      <w:szCs w:val="20"/>
    </w:rPr>
  </w:style>
  <w:style w:type="character" w:customStyle="1" w:styleId="FootnoteTextChar">
    <w:name w:val="Footnote Text Char"/>
    <w:basedOn w:val="DefaultParagraphFont"/>
    <w:link w:val="FootnoteText"/>
    <w:uiPriority w:val="99"/>
    <w:rsid w:val="00EF1491"/>
    <w:rPr>
      <w:rFonts w:ascii="Courier" w:eastAsia="Times New Roman" w:hAnsi="Courier" w:cs="Courier"/>
      <w:sz w:val="20"/>
      <w:szCs w:val="20"/>
      <w:lang w:eastAsia="en-AU"/>
    </w:rPr>
  </w:style>
  <w:style w:type="character" w:styleId="FootnoteReference">
    <w:name w:val="footnote reference"/>
    <w:basedOn w:val="DefaultParagraphFont"/>
    <w:uiPriority w:val="99"/>
    <w:rsid w:val="00EF1491"/>
    <w:rPr>
      <w:rFonts w:ascii="Times New Roman" w:hAnsi="Times New Roman" w:cs="Times New Roman"/>
      <w:vertAlign w:val="superscript"/>
    </w:rPr>
  </w:style>
  <w:style w:type="paragraph" w:styleId="DocumentMap">
    <w:name w:val="Document Map"/>
    <w:basedOn w:val="Normal"/>
    <w:link w:val="DocumentMapChar"/>
    <w:uiPriority w:val="99"/>
    <w:rsid w:val="00EF1491"/>
    <w:pPr>
      <w:widowControl w:val="0"/>
      <w:shd w:val="clear" w:color="auto" w:fill="C6D5EC"/>
      <w:autoSpaceDE w:val="0"/>
      <w:autoSpaceDN w:val="0"/>
      <w:adjustRightInd w:val="0"/>
      <w:spacing w:after="0" w:line="240" w:lineRule="auto"/>
    </w:pPr>
    <w:rPr>
      <w:rFonts w:ascii="Lucida Grande" w:eastAsia="Times New Roman" w:hAnsi="Lucida Grande" w:cs="Lucida Grande"/>
      <w:sz w:val="24"/>
      <w:szCs w:val="24"/>
    </w:rPr>
  </w:style>
  <w:style w:type="character" w:customStyle="1" w:styleId="DocumentMapChar">
    <w:name w:val="Document Map Char"/>
    <w:basedOn w:val="DefaultParagraphFont"/>
    <w:link w:val="DocumentMap"/>
    <w:uiPriority w:val="99"/>
    <w:rsid w:val="00EF1491"/>
    <w:rPr>
      <w:rFonts w:ascii="Lucida Grande" w:eastAsia="Times New Roman" w:hAnsi="Lucida Grande" w:cs="Lucida Grande"/>
      <w:sz w:val="24"/>
      <w:szCs w:val="24"/>
      <w:shd w:val="clear" w:color="auto" w:fill="C6D5EC"/>
      <w:lang w:eastAsia="en-AU"/>
    </w:rPr>
  </w:style>
  <w:style w:type="character" w:customStyle="1" w:styleId="small1">
    <w:name w:val="small1"/>
    <w:basedOn w:val="DefaultParagraphFont"/>
    <w:rsid w:val="00EF1491"/>
    <w:rPr>
      <w:rFonts w:cs="Times New Roman"/>
      <w:sz w:val="22"/>
      <w:szCs w:val="22"/>
    </w:rPr>
  </w:style>
  <w:style w:type="character" w:customStyle="1" w:styleId="medium1">
    <w:name w:val="medium1"/>
    <w:basedOn w:val="DefaultParagraphFont"/>
    <w:rsid w:val="00EF1491"/>
    <w:rPr>
      <w:rFonts w:cs="Times New Roman"/>
      <w:sz w:val="26"/>
      <w:szCs w:val="26"/>
    </w:rPr>
  </w:style>
  <w:style w:type="character" w:customStyle="1" w:styleId="large1">
    <w:name w:val="large1"/>
    <w:basedOn w:val="DefaultParagraphFont"/>
    <w:rsid w:val="00EF1491"/>
    <w:rPr>
      <w:rFonts w:cs="Times New Roman"/>
      <w:sz w:val="34"/>
      <w:szCs w:val="34"/>
    </w:rPr>
  </w:style>
  <w:style w:type="character" w:customStyle="1" w:styleId="z-TopofFormChar">
    <w:name w:val="z-Top of Form Char"/>
    <w:basedOn w:val="DefaultParagraphFont"/>
    <w:link w:val="z-TopofForm"/>
    <w:uiPriority w:val="99"/>
    <w:semiHidden/>
    <w:rsid w:val="00EF1491"/>
    <w:rPr>
      <w:rFonts w:ascii="Arial" w:eastAsia="Times New Roman" w:hAnsi="Arial" w:cs="Arial"/>
      <w:vanish/>
      <w:sz w:val="16"/>
      <w:szCs w:val="16"/>
      <w:lang w:eastAsia="en-AU"/>
    </w:rPr>
  </w:style>
  <w:style w:type="paragraph" w:styleId="z-TopofForm">
    <w:name w:val="HTML Top of Form"/>
    <w:basedOn w:val="Normal"/>
    <w:next w:val="Normal"/>
    <w:link w:val="z-TopofFormChar"/>
    <w:hidden/>
    <w:uiPriority w:val="99"/>
    <w:semiHidden/>
    <w:unhideWhenUsed/>
    <w:rsid w:val="00EF14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F1491"/>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EF1491"/>
    <w:pPr>
      <w:pBdr>
        <w:top w:val="single" w:sz="6" w:space="1" w:color="auto"/>
      </w:pBdr>
      <w:spacing w:after="0" w:line="240" w:lineRule="auto"/>
      <w:jc w:val="center"/>
    </w:pPr>
    <w:rPr>
      <w:rFonts w:ascii="Arial" w:eastAsia="Times New Roman" w:hAnsi="Arial" w:cs="Arial"/>
      <w:vanish/>
      <w:sz w:val="16"/>
      <w:szCs w:val="16"/>
    </w:rPr>
  </w:style>
  <w:style w:type="paragraph" w:customStyle="1" w:styleId="shortt">
    <w:name w:val="shortt"/>
    <w:basedOn w:val="Normal"/>
    <w:rsid w:val="00EF14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52B7E"/>
    <w:pPr>
      <w:spacing w:before="100" w:beforeAutospacing="1" w:after="240" w:line="240" w:lineRule="auto"/>
    </w:pPr>
    <w:rPr>
      <w:rFonts w:ascii="Times New Roman" w:eastAsia="Times New Roman" w:hAnsi="Times New Roman" w:cs="Times New Roman"/>
      <w:sz w:val="24"/>
      <w:szCs w:val="24"/>
    </w:rPr>
  </w:style>
  <w:style w:type="character" w:customStyle="1" w:styleId="sifr-alternate1">
    <w:name w:val="sifr-alternate1"/>
    <w:basedOn w:val="DefaultParagraphFont"/>
    <w:rsid w:val="00E30DB7"/>
    <w:rPr>
      <w:vanish w:val="0"/>
      <w:webHidden w:val="0"/>
      <w:specVanish w:val="0"/>
    </w:rPr>
  </w:style>
  <w:style w:type="character" w:customStyle="1" w:styleId="head1">
    <w:name w:val="head1"/>
    <w:basedOn w:val="DefaultParagraphFont"/>
    <w:rsid w:val="00E30DB7"/>
    <w:rPr>
      <w:b w:val="0"/>
      <w:bCs w:val="0"/>
      <w:color w:val="333333"/>
      <w:sz w:val="30"/>
      <w:szCs w:val="30"/>
    </w:rPr>
  </w:style>
  <w:style w:type="paragraph" w:styleId="ListParagraph">
    <w:name w:val="List Paragraph"/>
    <w:basedOn w:val="Normal"/>
    <w:uiPriority w:val="34"/>
    <w:qFormat/>
    <w:rsid w:val="00C1089C"/>
    <w:pPr>
      <w:ind w:left="720"/>
      <w:contextualSpacing/>
    </w:pPr>
  </w:style>
  <w:style w:type="character" w:styleId="Emphasis">
    <w:name w:val="Emphasis"/>
    <w:basedOn w:val="DefaultParagraphFont"/>
    <w:uiPriority w:val="20"/>
    <w:qFormat/>
    <w:rsid w:val="00822AC1"/>
    <w:rPr>
      <w:i/>
      <w:iCs/>
    </w:rPr>
  </w:style>
  <w:style w:type="character" w:customStyle="1" w:styleId="Heading2Char">
    <w:name w:val="Heading 2 Char"/>
    <w:basedOn w:val="DefaultParagraphFont"/>
    <w:link w:val="Heading2"/>
    <w:uiPriority w:val="9"/>
    <w:semiHidden/>
    <w:rsid w:val="005A3C75"/>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A92A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2A0D"/>
    <w:rPr>
      <w:sz w:val="20"/>
      <w:szCs w:val="20"/>
    </w:rPr>
  </w:style>
  <w:style w:type="character" w:styleId="EndnoteReference">
    <w:name w:val="endnote reference"/>
    <w:basedOn w:val="DefaultParagraphFont"/>
    <w:uiPriority w:val="99"/>
    <w:semiHidden/>
    <w:unhideWhenUsed/>
    <w:rsid w:val="00A92A0D"/>
    <w:rPr>
      <w:vertAlign w:val="superscript"/>
    </w:rPr>
  </w:style>
  <w:style w:type="paragraph" w:customStyle="1" w:styleId="Default">
    <w:name w:val="Default"/>
    <w:rsid w:val="004F4473"/>
    <w:pPr>
      <w:autoSpaceDE w:val="0"/>
      <w:autoSpaceDN w:val="0"/>
      <w:adjustRightInd w:val="0"/>
      <w:spacing w:after="0" w:line="240" w:lineRule="auto"/>
    </w:pPr>
    <w:rPr>
      <w:rFonts w:ascii="Calibri" w:hAnsi="Calibri" w:cs="Calibri"/>
      <w:color w:val="000000"/>
      <w:sz w:val="24"/>
      <w:szCs w:val="24"/>
    </w:rPr>
  </w:style>
  <w:style w:type="character" w:styleId="HTMLCite">
    <w:name w:val="HTML Cite"/>
    <w:basedOn w:val="DefaultParagraphFont"/>
    <w:uiPriority w:val="99"/>
    <w:semiHidden/>
    <w:unhideWhenUsed/>
    <w:rsid w:val="00E17270"/>
    <w:rPr>
      <w:i/>
      <w:iCs/>
    </w:rPr>
  </w:style>
  <w:style w:type="paragraph" w:styleId="Header">
    <w:name w:val="header"/>
    <w:basedOn w:val="Normal"/>
    <w:link w:val="HeaderChar"/>
    <w:uiPriority w:val="99"/>
    <w:semiHidden/>
    <w:unhideWhenUsed/>
    <w:rsid w:val="00076F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6F92"/>
  </w:style>
  <w:style w:type="paragraph" w:styleId="Footer">
    <w:name w:val="footer"/>
    <w:basedOn w:val="Normal"/>
    <w:link w:val="FooterChar"/>
    <w:uiPriority w:val="99"/>
    <w:unhideWhenUsed/>
    <w:rsid w:val="00076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F92"/>
  </w:style>
  <w:style w:type="paragraph" w:customStyle="1" w:styleId="wp-caption-text">
    <w:name w:val="wp-caption-text"/>
    <w:basedOn w:val="Normal"/>
    <w:rsid w:val="00FA16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16E3"/>
    <w:rPr>
      <w:b/>
      <w:bCs/>
    </w:rPr>
  </w:style>
  <w:style w:type="character" w:customStyle="1" w:styleId="Heading1Char">
    <w:name w:val="Heading 1 Char"/>
    <w:basedOn w:val="DefaultParagraphFont"/>
    <w:link w:val="Heading1"/>
    <w:uiPriority w:val="9"/>
    <w:rsid w:val="00FA16E3"/>
    <w:rPr>
      <w:rFonts w:asciiTheme="majorHAnsi" w:eastAsiaTheme="majorEastAsia" w:hAnsiTheme="majorHAnsi" w:cstheme="majorBidi"/>
      <w:b/>
      <w:bCs/>
      <w:color w:val="365F91" w:themeColor="accent1" w:themeShade="BF"/>
      <w:sz w:val="28"/>
      <w:szCs w:val="28"/>
    </w:rPr>
  </w:style>
  <w:style w:type="character" w:customStyle="1" w:styleId="Date1">
    <w:name w:val="Date1"/>
    <w:basedOn w:val="DefaultParagraphFont"/>
    <w:rsid w:val="00FA16E3"/>
  </w:style>
  <w:style w:type="character" w:customStyle="1" w:styleId="fn">
    <w:name w:val="fn"/>
    <w:basedOn w:val="DefaultParagraphFont"/>
    <w:rsid w:val="00FA16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1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3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1491"/>
    <w:pPr>
      <w:spacing w:after="0" w:line="240" w:lineRule="auto"/>
      <w:outlineLvl w:val="2"/>
    </w:pPr>
    <w:rPr>
      <w:rFonts w:ascii="Times New Roman" w:eastAsia="Times New Roman" w:hAnsi="Times New Roman" w:cs="Times New Roman"/>
      <w:color w:val="00499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1491"/>
    <w:rPr>
      <w:rFonts w:ascii="Times New Roman" w:eastAsia="Times New Roman" w:hAnsi="Times New Roman" w:cs="Times New Roman"/>
      <w:color w:val="004990"/>
      <w:sz w:val="15"/>
      <w:szCs w:val="15"/>
      <w:lang w:eastAsia="en-AU"/>
    </w:rPr>
  </w:style>
  <w:style w:type="character" w:styleId="Hyperlink">
    <w:name w:val="Hyperlink"/>
    <w:basedOn w:val="DefaultParagraphFont"/>
    <w:uiPriority w:val="99"/>
    <w:unhideWhenUsed/>
    <w:rsid w:val="00EF1491"/>
    <w:rPr>
      <w:rFonts w:ascii="Times New Roman" w:hAnsi="Times New Roman" w:cs="Times New Roman" w:hint="default"/>
      <w:color w:val="0000FF" w:themeColor="hyperlink"/>
      <w:u w:val="single"/>
    </w:rPr>
  </w:style>
  <w:style w:type="paragraph" w:styleId="BalloonText">
    <w:name w:val="Balloon Text"/>
    <w:basedOn w:val="Normal"/>
    <w:link w:val="BalloonTextChar"/>
    <w:uiPriority w:val="99"/>
    <w:unhideWhenUsed/>
    <w:rsid w:val="00EF1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1491"/>
    <w:rPr>
      <w:rFonts w:ascii="Tahoma" w:hAnsi="Tahoma" w:cs="Tahoma"/>
      <w:sz w:val="16"/>
      <w:szCs w:val="16"/>
    </w:rPr>
  </w:style>
  <w:style w:type="paragraph" w:styleId="FootnoteText">
    <w:name w:val="footnote text"/>
    <w:basedOn w:val="Normal"/>
    <w:link w:val="FootnoteTextChar"/>
    <w:uiPriority w:val="99"/>
    <w:rsid w:val="00EF1491"/>
    <w:pPr>
      <w:widowControl w:val="0"/>
      <w:autoSpaceDE w:val="0"/>
      <w:autoSpaceDN w:val="0"/>
      <w:adjustRightInd w:val="0"/>
      <w:spacing w:after="0" w:line="240" w:lineRule="auto"/>
    </w:pPr>
    <w:rPr>
      <w:rFonts w:ascii="Courier" w:eastAsia="Times New Roman" w:hAnsi="Courier" w:cs="Courier"/>
      <w:sz w:val="20"/>
      <w:szCs w:val="20"/>
    </w:rPr>
  </w:style>
  <w:style w:type="character" w:customStyle="1" w:styleId="FootnoteTextChar">
    <w:name w:val="Footnote Text Char"/>
    <w:basedOn w:val="DefaultParagraphFont"/>
    <w:link w:val="FootnoteText"/>
    <w:uiPriority w:val="99"/>
    <w:rsid w:val="00EF1491"/>
    <w:rPr>
      <w:rFonts w:ascii="Courier" w:eastAsia="Times New Roman" w:hAnsi="Courier" w:cs="Courier"/>
      <w:sz w:val="20"/>
      <w:szCs w:val="20"/>
      <w:lang w:eastAsia="en-AU"/>
    </w:rPr>
  </w:style>
  <w:style w:type="character" w:styleId="FootnoteReference">
    <w:name w:val="footnote reference"/>
    <w:basedOn w:val="DefaultParagraphFont"/>
    <w:uiPriority w:val="99"/>
    <w:rsid w:val="00EF1491"/>
    <w:rPr>
      <w:rFonts w:ascii="Times New Roman" w:hAnsi="Times New Roman" w:cs="Times New Roman"/>
      <w:vertAlign w:val="superscript"/>
    </w:rPr>
  </w:style>
  <w:style w:type="paragraph" w:styleId="DocumentMap">
    <w:name w:val="Document Map"/>
    <w:basedOn w:val="Normal"/>
    <w:link w:val="DocumentMapChar"/>
    <w:uiPriority w:val="99"/>
    <w:rsid w:val="00EF1491"/>
    <w:pPr>
      <w:widowControl w:val="0"/>
      <w:shd w:val="clear" w:color="auto" w:fill="C6D5EC"/>
      <w:autoSpaceDE w:val="0"/>
      <w:autoSpaceDN w:val="0"/>
      <w:adjustRightInd w:val="0"/>
      <w:spacing w:after="0" w:line="240" w:lineRule="auto"/>
    </w:pPr>
    <w:rPr>
      <w:rFonts w:ascii="Lucida Grande" w:eastAsia="Times New Roman" w:hAnsi="Lucida Grande" w:cs="Lucida Grande"/>
      <w:sz w:val="24"/>
      <w:szCs w:val="24"/>
    </w:rPr>
  </w:style>
  <w:style w:type="character" w:customStyle="1" w:styleId="DocumentMapChar">
    <w:name w:val="Document Map Char"/>
    <w:basedOn w:val="DefaultParagraphFont"/>
    <w:link w:val="DocumentMap"/>
    <w:uiPriority w:val="99"/>
    <w:rsid w:val="00EF1491"/>
    <w:rPr>
      <w:rFonts w:ascii="Lucida Grande" w:eastAsia="Times New Roman" w:hAnsi="Lucida Grande" w:cs="Lucida Grande"/>
      <w:sz w:val="24"/>
      <w:szCs w:val="24"/>
      <w:shd w:val="clear" w:color="auto" w:fill="C6D5EC"/>
      <w:lang w:eastAsia="en-AU"/>
    </w:rPr>
  </w:style>
  <w:style w:type="character" w:customStyle="1" w:styleId="small1">
    <w:name w:val="small1"/>
    <w:basedOn w:val="DefaultParagraphFont"/>
    <w:rsid w:val="00EF1491"/>
    <w:rPr>
      <w:rFonts w:cs="Times New Roman"/>
      <w:sz w:val="22"/>
      <w:szCs w:val="22"/>
    </w:rPr>
  </w:style>
  <w:style w:type="character" w:customStyle="1" w:styleId="medium1">
    <w:name w:val="medium1"/>
    <w:basedOn w:val="DefaultParagraphFont"/>
    <w:rsid w:val="00EF1491"/>
    <w:rPr>
      <w:rFonts w:cs="Times New Roman"/>
      <w:sz w:val="26"/>
      <w:szCs w:val="26"/>
    </w:rPr>
  </w:style>
  <w:style w:type="character" w:customStyle="1" w:styleId="large1">
    <w:name w:val="large1"/>
    <w:basedOn w:val="DefaultParagraphFont"/>
    <w:rsid w:val="00EF1491"/>
    <w:rPr>
      <w:rFonts w:cs="Times New Roman"/>
      <w:sz w:val="34"/>
      <w:szCs w:val="34"/>
    </w:rPr>
  </w:style>
  <w:style w:type="character" w:customStyle="1" w:styleId="z-TopofFormChar">
    <w:name w:val="z-Top of Form Char"/>
    <w:basedOn w:val="DefaultParagraphFont"/>
    <w:link w:val="z-TopofForm"/>
    <w:uiPriority w:val="99"/>
    <w:semiHidden/>
    <w:rsid w:val="00EF1491"/>
    <w:rPr>
      <w:rFonts w:ascii="Arial" w:eastAsia="Times New Roman" w:hAnsi="Arial" w:cs="Arial"/>
      <w:vanish/>
      <w:sz w:val="16"/>
      <w:szCs w:val="16"/>
      <w:lang w:eastAsia="en-AU"/>
    </w:rPr>
  </w:style>
  <w:style w:type="paragraph" w:styleId="z-TopofForm">
    <w:name w:val="HTML Top of Form"/>
    <w:basedOn w:val="Normal"/>
    <w:next w:val="Normal"/>
    <w:link w:val="z-TopofFormChar"/>
    <w:hidden/>
    <w:uiPriority w:val="99"/>
    <w:semiHidden/>
    <w:unhideWhenUsed/>
    <w:rsid w:val="00EF14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F1491"/>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EF1491"/>
    <w:pPr>
      <w:pBdr>
        <w:top w:val="single" w:sz="6" w:space="1" w:color="auto"/>
      </w:pBdr>
      <w:spacing w:after="0" w:line="240" w:lineRule="auto"/>
      <w:jc w:val="center"/>
    </w:pPr>
    <w:rPr>
      <w:rFonts w:ascii="Arial" w:eastAsia="Times New Roman" w:hAnsi="Arial" w:cs="Arial"/>
      <w:vanish/>
      <w:sz w:val="16"/>
      <w:szCs w:val="16"/>
    </w:rPr>
  </w:style>
  <w:style w:type="paragraph" w:customStyle="1" w:styleId="shortt">
    <w:name w:val="shortt"/>
    <w:basedOn w:val="Normal"/>
    <w:rsid w:val="00EF14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52B7E"/>
    <w:pPr>
      <w:spacing w:before="100" w:beforeAutospacing="1" w:after="240" w:line="240" w:lineRule="auto"/>
    </w:pPr>
    <w:rPr>
      <w:rFonts w:ascii="Times New Roman" w:eastAsia="Times New Roman" w:hAnsi="Times New Roman" w:cs="Times New Roman"/>
      <w:sz w:val="24"/>
      <w:szCs w:val="24"/>
    </w:rPr>
  </w:style>
  <w:style w:type="character" w:customStyle="1" w:styleId="sifr-alternate1">
    <w:name w:val="sifr-alternate1"/>
    <w:basedOn w:val="DefaultParagraphFont"/>
    <w:rsid w:val="00E30DB7"/>
    <w:rPr>
      <w:vanish w:val="0"/>
      <w:webHidden w:val="0"/>
      <w:specVanish w:val="0"/>
    </w:rPr>
  </w:style>
  <w:style w:type="character" w:customStyle="1" w:styleId="head1">
    <w:name w:val="head1"/>
    <w:basedOn w:val="DefaultParagraphFont"/>
    <w:rsid w:val="00E30DB7"/>
    <w:rPr>
      <w:b w:val="0"/>
      <w:bCs w:val="0"/>
      <w:color w:val="333333"/>
      <w:sz w:val="30"/>
      <w:szCs w:val="30"/>
    </w:rPr>
  </w:style>
  <w:style w:type="paragraph" w:styleId="ListParagraph">
    <w:name w:val="List Paragraph"/>
    <w:basedOn w:val="Normal"/>
    <w:uiPriority w:val="34"/>
    <w:qFormat/>
    <w:rsid w:val="00C1089C"/>
    <w:pPr>
      <w:ind w:left="720"/>
      <w:contextualSpacing/>
    </w:pPr>
  </w:style>
  <w:style w:type="character" w:styleId="Emphasis">
    <w:name w:val="Emphasis"/>
    <w:basedOn w:val="DefaultParagraphFont"/>
    <w:uiPriority w:val="20"/>
    <w:qFormat/>
    <w:rsid w:val="00822AC1"/>
    <w:rPr>
      <w:i/>
      <w:iCs/>
    </w:rPr>
  </w:style>
  <w:style w:type="character" w:customStyle="1" w:styleId="Heading2Char">
    <w:name w:val="Heading 2 Char"/>
    <w:basedOn w:val="DefaultParagraphFont"/>
    <w:link w:val="Heading2"/>
    <w:uiPriority w:val="9"/>
    <w:semiHidden/>
    <w:rsid w:val="005A3C75"/>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A92A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2A0D"/>
    <w:rPr>
      <w:sz w:val="20"/>
      <w:szCs w:val="20"/>
    </w:rPr>
  </w:style>
  <w:style w:type="character" w:styleId="EndnoteReference">
    <w:name w:val="endnote reference"/>
    <w:basedOn w:val="DefaultParagraphFont"/>
    <w:uiPriority w:val="99"/>
    <w:semiHidden/>
    <w:unhideWhenUsed/>
    <w:rsid w:val="00A92A0D"/>
    <w:rPr>
      <w:vertAlign w:val="superscript"/>
    </w:rPr>
  </w:style>
  <w:style w:type="paragraph" w:customStyle="1" w:styleId="Default">
    <w:name w:val="Default"/>
    <w:rsid w:val="004F4473"/>
    <w:pPr>
      <w:autoSpaceDE w:val="0"/>
      <w:autoSpaceDN w:val="0"/>
      <w:adjustRightInd w:val="0"/>
      <w:spacing w:after="0" w:line="240" w:lineRule="auto"/>
    </w:pPr>
    <w:rPr>
      <w:rFonts w:ascii="Calibri" w:hAnsi="Calibri" w:cs="Calibri"/>
      <w:color w:val="000000"/>
      <w:sz w:val="24"/>
      <w:szCs w:val="24"/>
    </w:rPr>
  </w:style>
  <w:style w:type="character" w:styleId="HTMLCite">
    <w:name w:val="HTML Cite"/>
    <w:basedOn w:val="DefaultParagraphFont"/>
    <w:uiPriority w:val="99"/>
    <w:semiHidden/>
    <w:unhideWhenUsed/>
    <w:rsid w:val="00E17270"/>
    <w:rPr>
      <w:i/>
      <w:iCs/>
    </w:rPr>
  </w:style>
  <w:style w:type="paragraph" w:styleId="Header">
    <w:name w:val="header"/>
    <w:basedOn w:val="Normal"/>
    <w:link w:val="HeaderChar"/>
    <w:uiPriority w:val="99"/>
    <w:semiHidden/>
    <w:unhideWhenUsed/>
    <w:rsid w:val="00076F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6F92"/>
  </w:style>
  <w:style w:type="paragraph" w:styleId="Footer">
    <w:name w:val="footer"/>
    <w:basedOn w:val="Normal"/>
    <w:link w:val="FooterChar"/>
    <w:uiPriority w:val="99"/>
    <w:unhideWhenUsed/>
    <w:rsid w:val="00076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F92"/>
  </w:style>
  <w:style w:type="paragraph" w:customStyle="1" w:styleId="wp-caption-text">
    <w:name w:val="wp-caption-text"/>
    <w:basedOn w:val="Normal"/>
    <w:rsid w:val="00FA16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16E3"/>
    <w:rPr>
      <w:b/>
      <w:bCs/>
    </w:rPr>
  </w:style>
  <w:style w:type="character" w:customStyle="1" w:styleId="Heading1Char">
    <w:name w:val="Heading 1 Char"/>
    <w:basedOn w:val="DefaultParagraphFont"/>
    <w:link w:val="Heading1"/>
    <w:uiPriority w:val="9"/>
    <w:rsid w:val="00FA16E3"/>
    <w:rPr>
      <w:rFonts w:asciiTheme="majorHAnsi" w:eastAsiaTheme="majorEastAsia" w:hAnsiTheme="majorHAnsi" w:cstheme="majorBidi"/>
      <w:b/>
      <w:bCs/>
      <w:color w:val="365F91" w:themeColor="accent1" w:themeShade="BF"/>
      <w:sz w:val="28"/>
      <w:szCs w:val="28"/>
    </w:rPr>
  </w:style>
  <w:style w:type="character" w:customStyle="1" w:styleId="Date1">
    <w:name w:val="Date1"/>
    <w:basedOn w:val="DefaultParagraphFont"/>
    <w:rsid w:val="00FA16E3"/>
  </w:style>
  <w:style w:type="character" w:customStyle="1" w:styleId="fn">
    <w:name w:val="fn"/>
    <w:basedOn w:val="DefaultParagraphFont"/>
    <w:rsid w:val="00FA16E3"/>
  </w:style>
</w:styles>
</file>

<file path=word/webSettings.xml><?xml version="1.0" encoding="utf-8"?>
<w:webSettings xmlns:r="http://schemas.openxmlformats.org/officeDocument/2006/relationships" xmlns:w="http://schemas.openxmlformats.org/wordprocessingml/2006/main">
  <w:divs>
    <w:div w:id="233318333">
      <w:bodyDiv w:val="1"/>
      <w:marLeft w:val="0"/>
      <w:marRight w:val="0"/>
      <w:marTop w:val="0"/>
      <w:marBottom w:val="0"/>
      <w:divBdr>
        <w:top w:val="none" w:sz="0" w:space="0" w:color="auto"/>
        <w:left w:val="none" w:sz="0" w:space="0" w:color="auto"/>
        <w:bottom w:val="none" w:sz="0" w:space="0" w:color="auto"/>
        <w:right w:val="none" w:sz="0" w:space="0" w:color="auto"/>
      </w:divBdr>
      <w:divsChild>
        <w:div w:id="1969899392">
          <w:marLeft w:val="0"/>
          <w:marRight w:val="0"/>
          <w:marTop w:val="0"/>
          <w:marBottom w:val="0"/>
          <w:divBdr>
            <w:top w:val="none" w:sz="0" w:space="0" w:color="auto"/>
            <w:left w:val="none" w:sz="0" w:space="0" w:color="auto"/>
            <w:bottom w:val="none" w:sz="0" w:space="0" w:color="auto"/>
            <w:right w:val="none" w:sz="0" w:space="0" w:color="auto"/>
          </w:divBdr>
          <w:divsChild>
            <w:div w:id="1815441405">
              <w:marLeft w:val="0"/>
              <w:marRight w:val="0"/>
              <w:marTop w:val="0"/>
              <w:marBottom w:val="0"/>
              <w:divBdr>
                <w:top w:val="none" w:sz="0" w:space="0" w:color="auto"/>
                <w:left w:val="none" w:sz="0" w:space="0" w:color="auto"/>
                <w:bottom w:val="none" w:sz="0" w:space="0" w:color="auto"/>
                <w:right w:val="none" w:sz="0" w:space="0" w:color="auto"/>
              </w:divBdr>
              <w:divsChild>
                <w:div w:id="1225682654">
                  <w:marLeft w:val="0"/>
                  <w:marRight w:val="0"/>
                  <w:marTop w:val="0"/>
                  <w:marBottom w:val="0"/>
                  <w:divBdr>
                    <w:top w:val="none" w:sz="0" w:space="0" w:color="auto"/>
                    <w:left w:val="none" w:sz="0" w:space="0" w:color="auto"/>
                    <w:bottom w:val="none" w:sz="0" w:space="0" w:color="auto"/>
                    <w:right w:val="none" w:sz="0" w:space="0" w:color="auto"/>
                  </w:divBdr>
                  <w:divsChild>
                    <w:div w:id="251210597">
                      <w:marLeft w:val="0"/>
                      <w:marRight w:val="0"/>
                      <w:marTop w:val="0"/>
                      <w:marBottom w:val="0"/>
                      <w:divBdr>
                        <w:top w:val="none" w:sz="0" w:space="0" w:color="auto"/>
                        <w:left w:val="none" w:sz="0" w:space="0" w:color="auto"/>
                        <w:bottom w:val="none" w:sz="0" w:space="0" w:color="auto"/>
                        <w:right w:val="none" w:sz="0" w:space="0" w:color="auto"/>
                      </w:divBdr>
                      <w:divsChild>
                        <w:div w:id="176235276">
                          <w:marLeft w:val="0"/>
                          <w:marRight w:val="0"/>
                          <w:marTop w:val="0"/>
                          <w:marBottom w:val="0"/>
                          <w:divBdr>
                            <w:top w:val="none" w:sz="0" w:space="0" w:color="auto"/>
                            <w:left w:val="none" w:sz="0" w:space="0" w:color="auto"/>
                            <w:bottom w:val="none" w:sz="0" w:space="0" w:color="auto"/>
                            <w:right w:val="none" w:sz="0" w:space="0" w:color="auto"/>
                          </w:divBdr>
                          <w:divsChild>
                            <w:div w:id="1540320747">
                              <w:marLeft w:val="0"/>
                              <w:marRight w:val="0"/>
                              <w:marTop w:val="0"/>
                              <w:marBottom w:val="0"/>
                              <w:divBdr>
                                <w:top w:val="none" w:sz="0" w:space="0" w:color="auto"/>
                                <w:left w:val="none" w:sz="0" w:space="0" w:color="auto"/>
                                <w:bottom w:val="none" w:sz="0" w:space="0" w:color="auto"/>
                                <w:right w:val="none" w:sz="0" w:space="0" w:color="auto"/>
                              </w:divBdr>
                              <w:divsChild>
                                <w:div w:id="225454178">
                                  <w:marLeft w:val="0"/>
                                  <w:marRight w:val="0"/>
                                  <w:marTop w:val="0"/>
                                  <w:marBottom w:val="0"/>
                                  <w:divBdr>
                                    <w:top w:val="none" w:sz="0" w:space="0" w:color="auto"/>
                                    <w:left w:val="none" w:sz="0" w:space="0" w:color="auto"/>
                                    <w:bottom w:val="none" w:sz="0" w:space="0" w:color="auto"/>
                                    <w:right w:val="none" w:sz="0" w:space="0" w:color="auto"/>
                                  </w:divBdr>
                                  <w:divsChild>
                                    <w:div w:id="372853041">
                                      <w:marLeft w:val="0"/>
                                      <w:marRight w:val="0"/>
                                      <w:marTop w:val="0"/>
                                      <w:marBottom w:val="0"/>
                                      <w:divBdr>
                                        <w:top w:val="none" w:sz="0" w:space="0" w:color="auto"/>
                                        <w:left w:val="none" w:sz="0" w:space="0" w:color="auto"/>
                                        <w:bottom w:val="none" w:sz="0" w:space="0" w:color="auto"/>
                                        <w:right w:val="none" w:sz="0" w:space="0" w:color="auto"/>
                                      </w:divBdr>
                                      <w:divsChild>
                                        <w:div w:id="1566987991">
                                          <w:marLeft w:val="0"/>
                                          <w:marRight w:val="0"/>
                                          <w:marTop w:val="120"/>
                                          <w:marBottom w:val="120"/>
                                          <w:divBdr>
                                            <w:top w:val="none" w:sz="0" w:space="0" w:color="auto"/>
                                            <w:left w:val="none" w:sz="0" w:space="0" w:color="auto"/>
                                            <w:bottom w:val="none" w:sz="0" w:space="0" w:color="auto"/>
                                            <w:right w:val="none" w:sz="0" w:space="0" w:color="auto"/>
                                          </w:divBdr>
                                          <w:divsChild>
                                            <w:div w:id="2047632447">
                                              <w:marLeft w:val="0"/>
                                              <w:marRight w:val="0"/>
                                              <w:marTop w:val="0"/>
                                              <w:marBottom w:val="0"/>
                                              <w:divBdr>
                                                <w:top w:val="none" w:sz="0" w:space="0" w:color="auto"/>
                                                <w:left w:val="none" w:sz="0" w:space="0" w:color="auto"/>
                                                <w:bottom w:val="none" w:sz="0" w:space="0" w:color="auto"/>
                                                <w:right w:val="none" w:sz="0" w:space="0" w:color="auto"/>
                                              </w:divBdr>
                                              <w:divsChild>
                                                <w:div w:id="427775978">
                                                  <w:marLeft w:val="0"/>
                                                  <w:marRight w:val="0"/>
                                                  <w:marTop w:val="0"/>
                                                  <w:marBottom w:val="0"/>
                                                  <w:divBdr>
                                                    <w:top w:val="none" w:sz="0" w:space="0" w:color="auto"/>
                                                    <w:left w:val="none" w:sz="0" w:space="0" w:color="auto"/>
                                                    <w:bottom w:val="none" w:sz="0" w:space="0" w:color="auto"/>
                                                    <w:right w:val="none" w:sz="0" w:space="0" w:color="auto"/>
                                                  </w:divBdr>
                                                </w:div>
                                                <w:div w:id="1172067384">
                                                  <w:marLeft w:val="0"/>
                                                  <w:marRight w:val="0"/>
                                                  <w:marTop w:val="0"/>
                                                  <w:marBottom w:val="0"/>
                                                  <w:divBdr>
                                                    <w:top w:val="none" w:sz="0" w:space="0" w:color="auto"/>
                                                    <w:left w:val="none" w:sz="0" w:space="0" w:color="auto"/>
                                                    <w:bottom w:val="none" w:sz="0" w:space="0" w:color="auto"/>
                                                    <w:right w:val="none" w:sz="0" w:space="0" w:color="auto"/>
                                                  </w:divBdr>
                                                </w:div>
                                                <w:div w:id="425540579">
                                                  <w:marLeft w:val="0"/>
                                                  <w:marRight w:val="0"/>
                                                  <w:marTop w:val="0"/>
                                                  <w:marBottom w:val="0"/>
                                                  <w:divBdr>
                                                    <w:top w:val="none" w:sz="0" w:space="0" w:color="auto"/>
                                                    <w:left w:val="none" w:sz="0" w:space="0" w:color="auto"/>
                                                    <w:bottom w:val="none" w:sz="0" w:space="0" w:color="auto"/>
                                                    <w:right w:val="none" w:sz="0" w:space="0" w:color="auto"/>
                                                  </w:divBdr>
                                                </w:div>
                                                <w:div w:id="470824623">
                                                  <w:marLeft w:val="0"/>
                                                  <w:marRight w:val="0"/>
                                                  <w:marTop w:val="0"/>
                                                  <w:marBottom w:val="0"/>
                                                  <w:divBdr>
                                                    <w:top w:val="none" w:sz="0" w:space="0" w:color="auto"/>
                                                    <w:left w:val="none" w:sz="0" w:space="0" w:color="auto"/>
                                                    <w:bottom w:val="none" w:sz="0" w:space="0" w:color="auto"/>
                                                    <w:right w:val="none" w:sz="0" w:space="0" w:color="auto"/>
                                                  </w:divBdr>
                                                </w:div>
                                                <w:div w:id="20319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3584272">
      <w:bodyDiv w:val="1"/>
      <w:marLeft w:val="0"/>
      <w:marRight w:val="0"/>
      <w:marTop w:val="0"/>
      <w:marBottom w:val="0"/>
      <w:divBdr>
        <w:top w:val="none" w:sz="0" w:space="0" w:color="auto"/>
        <w:left w:val="none" w:sz="0" w:space="0" w:color="auto"/>
        <w:bottom w:val="none" w:sz="0" w:space="0" w:color="auto"/>
        <w:right w:val="none" w:sz="0" w:space="0" w:color="auto"/>
      </w:divBdr>
      <w:divsChild>
        <w:div w:id="66273845">
          <w:marLeft w:val="0"/>
          <w:marRight w:val="0"/>
          <w:marTop w:val="0"/>
          <w:marBottom w:val="0"/>
          <w:divBdr>
            <w:top w:val="none" w:sz="0" w:space="0" w:color="auto"/>
            <w:left w:val="none" w:sz="0" w:space="0" w:color="auto"/>
            <w:bottom w:val="none" w:sz="0" w:space="0" w:color="auto"/>
            <w:right w:val="none" w:sz="0" w:space="0" w:color="auto"/>
          </w:divBdr>
          <w:divsChild>
            <w:div w:id="1802188060">
              <w:marLeft w:val="0"/>
              <w:marRight w:val="0"/>
              <w:marTop w:val="0"/>
              <w:marBottom w:val="0"/>
              <w:divBdr>
                <w:top w:val="none" w:sz="0" w:space="0" w:color="auto"/>
                <w:left w:val="none" w:sz="0" w:space="0" w:color="auto"/>
                <w:bottom w:val="none" w:sz="0" w:space="0" w:color="auto"/>
                <w:right w:val="none" w:sz="0" w:space="0" w:color="auto"/>
              </w:divBdr>
              <w:divsChild>
                <w:div w:id="1186093916">
                  <w:marLeft w:val="0"/>
                  <w:marRight w:val="0"/>
                  <w:marTop w:val="0"/>
                  <w:marBottom w:val="0"/>
                  <w:divBdr>
                    <w:top w:val="none" w:sz="0" w:space="0" w:color="auto"/>
                    <w:left w:val="none" w:sz="0" w:space="0" w:color="auto"/>
                    <w:bottom w:val="none" w:sz="0" w:space="0" w:color="auto"/>
                    <w:right w:val="none" w:sz="0" w:space="0" w:color="auto"/>
                  </w:divBdr>
                  <w:divsChild>
                    <w:div w:id="715543743">
                      <w:marLeft w:val="0"/>
                      <w:marRight w:val="0"/>
                      <w:marTop w:val="0"/>
                      <w:marBottom w:val="0"/>
                      <w:divBdr>
                        <w:top w:val="none" w:sz="0" w:space="0" w:color="auto"/>
                        <w:left w:val="none" w:sz="0" w:space="0" w:color="auto"/>
                        <w:bottom w:val="none" w:sz="0" w:space="0" w:color="auto"/>
                        <w:right w:val="none" w:sz="0" w:space="0" w:color="auto"/>
                      </w:divBdr>
                      <w:divsChild>
                        <w:div w:id="1423212434">
                          <w:marLeft w:val="0"/>
                          <w:marRight w:val="0"/>
                          <w:marTop w:val="0"/>
                          <w:marBottom w:val="0"/>
                          <w:divBdr>
                            <w:top w:val="none" w:sz="0" w:space="0" w:color="auto"/>
                            <w:left w:val="none" w:sz="0" w:space="0" w:color="auto"/>
                            <w:bottom w:val="none" w:sz="0" w:space="0" w:color="auto"/>
                            <w:right w:val="none" w:sz="0" w:space="0" w:color="auto"/>
                          </w:divBdr>
                          <w:divsChild>
                            <w:div w:id="10559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032611">
      <w:bodyDiv w:val="1"/>
      <w:marLeft w:val="0"/>
      <w:marRight w:val="0"/>
      <w:marTop w:val="0"/>
      <w:marBottom w:val="0"/>
      <w:divBdr>
        <w:top w:val="none" w:sz="0" w:space="0" w:color="auto"/>
        <w:left w:val="none" w:sz="0" w:space="0" w:color="auto"/>
        <w:bottom w:val="none" w:sz="0" w:space="0" w:color="auto"/>
        <w:right w:val="none" w:sz="0" w:space="0" w:color="auto"/>
      </w:divBdr>
      <w:divsChild>
        <w:div w:id="1187132968">
          <w:marLeft w:val="0"/>
          <w:marRight w:val="0"/>
          <w:marTop w:val="0"/>
          <w:marBottom w:val="0"/>
          <w:divBdr>
            <w:top w:val="none" w:sz="0" w:space="0" w:color="auto"/>
            <w:left w:val="none" w:sz="0" w:space="0" w:color="auto"/>
            <w:bottom w:val="none" w:sz="0" w:space="0" w:color="auto"/>
            <w:right w:val="none" w:sz="0" w:space="0" w:color="auto"/>
          </w:divBdr>
          <w:divsChild>
            <w:div w:id="614289709">
              <w:marLeft w:val="0"/>
              <w:marRight w:val="0"/>
              <w:marTop w:val="0"/>
              <w:marBottom w:val="0"/>
              <w:divBdr>
                <w:top w:val="none" w:sz="0" w:space="0" w:color="auto"/>
                <w:left w:val="none" w:sz="0" w:space="0" w:color="auto"/>
                <w:bottom w:val="none" w:sz="0" w:space="0" w:color="auto"/>
                <w:right w:val="none" w:sz="0" w:space="0" w:color="auto"/>
              </w:divBdr>
              <w:divsChild>
                <w:div w:id="2118403955">
                  <w:marLeft w:val="0"/>
                  <w:marRight w:val="0"/>
                  <w:marTop w:val="0"/>
                  <w:marBottom w:val="0"/>
                  <w:divBdr>
                    <w:top w:val="none" w:sz="0" w:space="0" w:color="auto"/>
                    <w:left w:val="none" w:sz="0" w:space="0" w:color="auto"/>
                    <w:bottom w:val="none" w:sz="0" w:space="0" w:color="auto"/>
                    <w:right w:val="none" w:sz="0" w:space="0" w:color="auto"/>
                  </w:divBdr>
                  <w:divsChild>
                    <w:div w:id="749157000">
                      <w:marLeft w:val="0"/>
                      <w:marRight w:val="0"/>
                      <w:marTop w:val="0"/>
                      <w:marBottom w:val="0"/>
                      <w:divBdr>
                        <w:top w:val="none" w:sz="0" w:space="0" w:color="auto"/>
                        <w:left w:val="none" w:sz="0" w:space="0" w:color="auto"/>
                        <w:bottom w:val="none" w:sz="0" w:space="0" w:color="auto"/>
                        <w:right w:val="none" w:sz="0" w:space="0" w:color="auto"/>
                      </w:divBdr>
                      <w:divsChild>
                        <w:div w:id="445081742">
                          <w:marLeft w:val="0"/>
                          <w:marRight w:val="0"/>
                          <w:marTop w:val="0"/>
                          <w:marBottom w:val="0"/>
                          <w:divBdr>
                            <w:top w:val="none" w:sz="0" w:space="0" w:color="auto"/>
                            <w:left w:val="none" w:sz="0" w:space="0" w:color="auto"/>
                            <w:bottom w:val="none" w:sz="0" w:space="0" w:color="auto"/>
                            <w:right w:val="none" w:sz="0" w:space="0" w:color="auto"/>
                          </w:divBdr>
                          <w:divsChild>
                            <w:div w:id="67580555">
                              <w:marLeft w:val="0"/>
                              <w:marRight w:val="0"/>
                              <w:marTop w:val="0"/>
                              <w:marBottom w:val="0"/>
                              <w:divBdr>
                                <w:top w:val="none" w:sz="0" w:space="0" w:color="auto"/>
                                <w:left w:val="none" w:sz="0" w:space="0" w:color="auto"/>
                                <w:bottom w:val="none" w:sz="0" w:space="0" w:color="auto"/>
                                <w:right w:val="none" w:sz="0" w:space="0" w:color="auto"/>
                              </w:divBdr>
                              <w:divsChild>
                                <w:div w:id="729767015">
                                  <w:marLeft w:val="0"/>
                                  <w:marRight w:val="0"/>
                                  <w:marTop w:val="0"/>
                                  <w:marBottom w:val="0"/>
                                  <w:divBdr>
                                    <w:top w:val="none" w:sz="0" w:space="0" w:color="auto"/>
                                    <w:left w:val="none" w:sz="0" w:space="0" w:color="auto"/>
                                    <w:bottom w:val="none" w:sz="0" w:space="0" w:color="auto"/>
                                    <w:right w:val="none" w:sz="0" w:space="0" w:color="auto"/>
                                  </w:divBdr>
                                  <w:divsChild>
                                    <w:div w:id="2079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538448">
      <w:bodyDiv w:val="1"/>
      <w:marLeft w:val="0"/>
      <w:marRight w:val="0"/>
      <w:marTop w:val="0"/>
      <w:marBottom w:val="0"/>
      <w:divBdr>
        <w:top w:val="none" w:sz="0" w:space="0" w:color="auto"/>
        <w:left w:val="none" w:sz="0" w:space="0" w:color="auto"/>
        <w:bottom w:val="none" w:sz="0" w:space="0" w:color="auto"/>
        <w:right w:val="none" w:sz="0" w:space="0" w:color="auto"/>
      </w:divBdr>
    </w:div>
    <w:div w:id="834612443">
      <w:bodyDiv w:val="1"/>
      <w:marLeft w:val="0"/>
      <w:marRight w:val="0"/>
      <w:marTop w:val="0"/>
      <w:marBottom w:val="0"/>
      <w:divBdr>
        <w:top w:val="none" w:sz="0" w:space="0" w:color="auto"/>
        <w:left w:val="none" w:sz="0" w:space="0" w:color="auto"/>
        <w:bottom w:val="none" w:sz="0" w:space="0" w:color="auto"/>
        <w:right w:val="none" w:sz="0" w:space="0" w:color="auto"/>
      </w:divBdr>
      <w:divsChild>
        <w:div w:id="939143082">
          <w:marLeft w:val="0"/>
          <w:marRight w:val="0"/>
          <w:marTop w:val="0"/>
          <w:marBottom w:val="0"/>
          <w:divBdr>
            <w:top w:val="none" w:sz="0" w:space="0" w:color="auto"/>
            <w:left w:val="none" w:sz="0" w:space="0" w:color="auto"/>
            <w:bottom w:val="none" w:sz="0" w:space="0" w:color="auto"/>
            <w:right w:val="none" w:sz="0" w:space="0" w:color="auto"/>
          </w:divBdr>
          <w:divsChild>
            <w:div w:id="1517188122">
              <w:marLeft w:val="0"/>
              <w:marRight w:val="0"/>
              <w:marTop w:val="0"/>
              <w:marBottom w:val="0"/>
              <w:divBdr>
                <w:top w:val="none" w:sz="0" w:space="0" w:color="auto"/>
                <w:left w:val="none" w:sz="0" w:space="0" w:color="auto"/>
                <w:bottom w:val="none" w:sz="0" w:space="0" w:color="auto"/>
                <w:right w:val="none" w:sz="0" w:space="0" w:color="auto"/>
              </w:divBdr>
              <w:divsChild>
                <w:div w:id="970282149">
                  <w:marLeft w:val="0"/>
                  <w:marRight w:val="0"/>
                  <w:marTop w:val="0"/>
                  <w:marBottom w:val="0"/>
                  <w:divBdr>
                    <w:top w:val="none" w:sz="0" w:space="0" w:color="auto"/>
                    <w:left w:val="none" w:sz="0" w:space="0" w:color="auto"/>
                    <w:bottom w:val="none" w:sz="0" w:space="0" w:color="auto"/>
                    <w:right w:val="none" w:sz="0" w:space="0" w:color="auto"/>
                  </w:divBdr>
                  <w:divsChild>
                    <w:div w:id="590043108">
                      <w:marLeft w:val="0"/>
                      <w:marRight w:val="0"/>
                      <w:marTop w:val="0"/>
                      <w:marBottom w:val="150"/>
                      <w:divBdr>
                        <w:top w:val="none" w:sz="0" w:space="0" w:color="auto"/>
                        <w:left w:val="none" w:sz="0" w:space="0" w:color="auto"/>
                        <w:bottom w:val="single" w:sz="6" w:space="0" w:color="E5EEEE"/>
                        <w:right w:val="none" w:sz="0" w:space="0" w:color="auto"/>
                      </w:divBdr>
                    </w:div>
                    <w:div w:id="1005401483">
                      <w:marLeft w:val="0"/>
                      <w:marRight w:val="0"/>
                      <w:marTop w:val="0"/>
                      <w:marBottom w:val="0"/>
                      <w:divBdr>
                        <w:top w:val="none" w:sz="0" w:space="0" w:color="auto"/>
                        <w:left w:val="none" w:sz="0" w:space="0" w:color="auto"/>
                        <w:bottom w:val="none" w:sz="0" w:space="0" w:color="auto"/>
                        <w:right w:val="none" w:sz="0" w:space="0" w:color="auto"/>
                      </w:divBdr>
                      <w:divsChild>
                        <w:div w:id="1709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690227">
      <w:bodyDiv w:val="1"/>
      <w:marLeft w:val="0"/>
      <w:marRight w:val="0"/>
      <w:marTop w:val="0"/>
      <w:marBottom w:val="0"/>
      <w:divBdr>
        <w:top w:val="none" w:sz="0" w:space="0" w:color="auto"/>
        <w:left w:val="none" w:sz="0" w:space="0" w:color="auto"/>
        <w:bottom w:val="none" w:sz="0" w:space="0" w:color="auto"/>
        <w:right w:val="none" w:sz="0" w:space="0" w:color="auto"/>
      </w:divBdr>
      <w:divsChild>
        <w:div w:id="388504426">
          <w:marLeft w:val="0"/>
          <w:marRight w:val="0"/>
          <w:marTop w:val="0"/>
          <w:marBottom w:val="0"/>
          <w:divBdr>
            <w:top w:val="none" w:sz="0" w:space="0" w:color="auto"/>
            <w:left w:val="none" w:sz="0" w:space="0" w:color="auto"/>
            <w:bottom w:val="none" w:sz="0" w:space="0" w:color="auto"/>
            <w:right w:val="none" w:sz="0" w:space="0" w:color="auto"/>
          </w:divBdr>
          <w:divsChild>
            <w:div w:id="2105570716">
              <w:marLeft w:val="0"/>
              <w:marRight w:val="0"/>
              <w:marTop w:val="0"/>
              <w:marBottom w:val="0"/>
              <w:divBdr>
                <w:top w:val="none" w:sz="0" w:space="0" w:color="auto"/>
                <w:left w:val="none" w:sz="0" w:space="0" w:color="auto"/>
                <w:bottom w:val="none" w:sz="0" w:space="0" w:color="auto"/>
                <w:right w:val="none" w:sz="0" w:space="0" w:color="auto"/>
              </w:divBdr>
              <w:divsChild>
                <w:div w:id="177890965">
                  <w:marLeft w:val="0"/>
                  <w:marRight w:val="0"/>
                  <w:marTop w:val="0"/>
                  <w:marBottom w:val="0"/>
                  <w:divBdr>
                    <w:top w:val="none" w:sz="0" w:space="0" w:color="auto"/>
                    <w:left w:val="none" w:sz="0" w:space="0" w:color="auto"/>
                    <w:bottom w:val="none" w:sz="0" w:space="0" w:color="auto"/>
                    <w:right w:val="none" w:sz="0" w:space="0" w:color="auto"/>
                  </w:divBdr>
                  <w:divsChild>
                    <w:div w:id="91971474">
                      <w:marLeft w:val="0"/>
                      <w:marRight w:val="0"/>
                      <w:marTop w:val="0"/>
                      <w:marBottom w:val="0"/>
                      <w:divBdr>
                        <w:top w:val="none" w:sz="0" w:space="0" w:color="auto"/>
                        <w:left w:val="none" w:sz="0" w:space="0" w:color="auto"/>
                        <w:bottom w:val="none" w:sz="0" w:space="0" w:color="auto"/>
                        <w:right w:val="none" w:sz="0" w:space="0" w:color="auto"/>
                      </w:divBdr>
                      <w:divsChild>
                        <w:div w:id="1750616283">
                          <w:marLeft w:val="0"/>
                          <w:marRight w:val="0"/>
                          <w:marTop w:val="0"/>
                          <w:marBottom w:val="0"/>
                          <w:divBdr>
                            <w:top w:val="none" w:sz="0" w:space="0" w:color="auto"/>
                            <w:left w:val="none" w:sz="0" w:space="0" w:color="auto"/>
                            <w:bottom w:val="none" w:sz="0" w:space="0" w:color="auto"/>
                            <w:right w:val="none" w:sz="0" w:space="0" w:color="auto"/>
                          </w:divBdr>
                          <w:divsChild>
                            <w:div w:id="4460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351356">
      <w:bodyDiv w:val="1"/>
      <w:marLeft w:val="0"/>
      <w:marRight w:val="0"/>
      <w:marTop w:val="0"/>
      <w:marBottom w:val="0"/>
      <w:divBdr>
        <w:top w:val="none" w:sz="0" w:space="0" w:color="auto"/>
        <w:left w:val="none" w:sz="0" w:space="0" w:color="auto"/>
        <w:bottom w:val="none" w:sz="0" w:space="0" w:color="auto"/>
        <w:right w:val="none" w:sz="0" w:space="0" w:color="auto"/>
      </w:divBdr>
      <w:divsChild>
        <w:div w:id="369839561">
          <w:marLeft w:val="0"/>
          <w:marRight w:val="0"/>
          <w:marTop w:val="0"/>
          <w:marBottom w:val="0"/>
          <w:divBdr>
            <w:top w:val="none" w:sz="0" w:space="0" w:color="auto"/>
            <w:left w:val="none" w:sz="0" w:space="0" w:color="auto"/>
            <w:bottom w:val="none" w:sz="0" w:space="0" w:color="auto"/>
            <w:right w:val="none" w:sz="0" w:space="0" w:color="auto"/>
          </w:divBdr>
          <w:divsChild>
            <w:div w:id="681053229">
              <w:marLeft w:val="0"/>
              <w:marRight w:val="0"/>
              <w:marTop w:val="0"/>
              <w:marBottom w:val="0"/>
              <w:divBdr>
                <w:top w:val="none" w:sz="0" w:space="0" w:color="auto"/>
                <w:left w:val="none" w:sz="0" w:space="0" w:color="auto"/>
                <w:bottom w:val="none" w:sz="0" w:space="0" w:color="auto"/>
                <w:right w:val="none" w:sz="0" w:space="0" w:color="auto"/>
              </w:divBdr>
              <w:divsChild>
                <w:div w:id="13158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30279">
      <w:bodyDiv w:val="1"/>
      <w:marLeft w:val="0"/>
      <w:marRight w:val="0"/>
      <w:marTop w:val="0"/>
      <w:marBottom w:val="0"/>
      <w:divBdr>
        <w:top w:val="none" w:sz="0" w:space="0" w:color="auto"/>
        <w:left w:val="none" w:sz="0" w:space="0" w:color="auto"/>
        <w:bottom w:val="none" w:sz="0" w:space="0" w:color="auto"/>
        <w:right w:val="none" w:sz="0" w:space="0" w:color="auto"/>
      </w:divBdr>
      <w:divsChild>
        <w:div w:id="578179950">
          <w:marLeft w:val="0"/>
          <w:marRight w:val="0"/>
          <w:marTop w:val="0"/>
          <w:marBottom w:val="0"/>
          <w:divBdr>
            <w:top w:val="none" w:sz="0" w:space="0" w:color="auto"/>
            <w:left w:val="none" w:sz="0" w:space="0" w:color="auto"/>
            <w:bottom w:val="none" w:sz="0" w:space="0" w:color="auto"/>
            <w:right w:val="none" w:sz="0" w:space="0" w:color="auto"/>
          </w:divBdr>
          <w:divsChild>
            <w:div w:id="783421819">
              <w:marLeft w:val="0"/>
              <w:marRight w:val="0"/>
              <w:marTop w:val="0"/>
              <w:marBottom w:val="0"/>
              <w:divBdr>
                <w:top w:val="none" w:sz="0" w:space="0" w:color="auto"/>
                <w:left w:val="none" w:sz="0" w:space="0" w:color="auto"/>
                <w:bottom w:val="none" w:sz="0" w:space="0" w:color="auto"/>
                <w:right w:val="none" w:sz="0" w:space="0" w:color="auto"/>
              </w:divBdr>
              <w:divsChild>
                <w:div w:id="840463433">
                  <w:marLeft w:val="0"/>
                  <w:marRight w:val="0"/>
                  <w:marTop w:val="0"/>
                  <w:marBottom w:val="0"/>
                  <w:divBdr>
                    <w:top w:val="none" w:sz="0" w:space="0" w:color="auto"/>
                    <w:left w:val="none" w:sz="0" w:space="0" w:color="auto"/>
                    <w:bottom w:val="none" w:sz="0" w:space="0" w:color="auto"/>
                    <w:right w:val="none" w:sz="0" w:space="0" w:color="auto"/>
                  </w:divBdr>
                  <w:divsChild>
                    <w:div w:id="454369350">
                      <w:marLeft w:val="0"/>
                      <w:marRight w:val="0"/>
                      <w:marTop w:val="0"/>
                      <w:marBottom w:val="0"/>
                      <w:divBdr>
                        <w:top w:val="none" w:sz="0" w:space="0" w:color="auto"/>
                        <w:left w:val="none" w:sz="0" w:space="0" w:color="auto"/>
                        <w:bottom w:val="none" w:sz="0" w:space="0" w:color="auto"/>
                        <w:right w:val="none" w:sz="0" w:space="0" w:color="auto"/>
                      </w:divBdr>
                      <w:divsChild>
                        <w:div w:id="57868846">
                          <w:marLeft w:val="0"/>
                          <w:marRight w:val="0"/>
                          <w:marTop w:val="0"/>
                          <w:marBottom w:val="0"/>
                          <w:divBdr>
                            <w:top w:val="none" w:sz="0" w:space="0" w:color="auto"/>
                            <w:left w:val="none" w:sz="0" w:space="0" w:color="auto"/>
                            <w:bottom w:val="none" w:sz="0" w:space="0" w:color="auto"/>
                            <w:right w:val="none" w:sz="0" w:space="0" w:color="auto"/>
                          </w:divBdr>
                          <w:divsChild>
                            <w:div w:id="1284264369">
                              <w:marLeft w:val="0"/>
                              <w:marRight w:val="0"/>
                              <w:marTop w:val="0"/>
                              <w:marBottom w:val="0"/>
                              <w:divBdr>
                                <w:top w:val="none" w:sz="0" w:space="0" w:color="auto"/>
                                <w:left w:val="none" w:sz="0" w:space="0" w:color="auto"/>
                                <w:bottom w:val="none" w:sz="0" w:space="0" w:color="auto"/>
                                <w:right w:val="none" w:sz="0" w:space="0" w:color="auto"/>
                              </w:divBdr>
                              <w:divsChild>
                                <w:div w:id="1307126846">
                                  <w:marLeft w:val="0"/>
                                  <w:marRight w:val="0"/>
                                  <w:marTop w:val="0"/>
                                  <w:marBottom w:val="0"/>
                                  <w:divBdr>
                                    <w:top w:val="none" w:sz="0" w:space="0" w:color="auto"/>
                                    <w:left w:val="none" w:sz="0" w:space="0" w:color="auto"/>
                                    <w:bottom w:val="none" w:sz="0" w:space="0" w:color="auto"/>
                                    <w:right w:val="none" w:sz="0" w:space="0" w:color="auto"/>
                                  </w:divBdr>
                                  <w:divsChild>
                                    <w:div w:id="696588902">
                                      <w:marLeft w:val="0"/>
                                      <w:marRight w:val="0"/>
                                      <w:marTop w:val="0"/>
                                      <w:marBottom w:val="0"/>
                                      <w:divBdr>
                                        <w:top w:val="none" w:sz="0" w:space="0" w:color="auto"/>
                                        <w:left w:val="none" w:sz="0" w:space="0" w:color="auto"/>
                                        <w:bottom w:val="none" w:sz="0" w:space="0" w:color="auto"/>
                                        <w:right w:val="none" w:sz="0" w:space="0" w:color="auto"/>
                                      </w:divBdr>
                                      <w:divsChild>
                                        <w:div w:id="454105277">
                                          <w:marLeft w:val="0"/>
                                          <w:marRight w:val="0"/>
                                          <w:marTop w:val="0"/>
                                          <w:marBottom w:val="0"/>
                                          <w:divBdr>
                                            <w:top w:val="none" w:sz="0" w:space="0" w:color="auto"/>
                                            <w:left w:val="none" w:sz="0" w:space="0" w:color="auto"/>
                                            <w:bottom w:val="none" w:sz="0" w:space="0" w:color="auto"/>
                                            <w:right w:val="none" w:sz="0" w:space="0" w:color="auto"/>
                                          </w:divBdr>
                                          <w:divsChild>
                                            <w:div w:id="52235656">
                                              <w:marLeft w:val="0"/>
                                              <w:marRight w:val="0"/>
                                              <w:marTop w:val="0"/>
                                              <w:marBottom w:val="0"/>
                                              <w:divBdr>
                                                <w:top w:val="none" w:sz="0" w:space="0" w:color="auto"/>
                                                <w:left w:val="none" w:sz="0" w:space="0" w:color="auto"/>
                                                <w:bottom w:val="none" w:sz="0" w:space="0" w:color="auto"/>
                                                <w:right w:val="none" w:sz="0" w:space="0" w:color="auto"/>
                                              </w:divBdr>
                                              <w:divsChild>
                                                <w:div w:id="1549605026">
                                                  <w:marLeft w:val="0"/>
                                                  <w:marRight w:val="0"/>
                                                  <w:marTop w:val="0"/>
                                                  <w:marBottom w:val="0"/>
                                                  <w:divBdr>
                                                    <w:top w:val="none" w:sz="0" w:space="0" w:color="auto"/>
                                                    <w:left w:val="none" w:sz="0" w:space="0" w:color="auto"/>
                                                    <w:bottom w:val="none" w:sz="0" w:space="0" w:color="auto"/>
                                                    <w:right w:val="none" w:sz="0" w:space="0" w:color="auto"/>
                                                  </w:divBdr>
                                                  <w:divsChild>
                                                    <w:div w:id="693045011">
                                                      <w:marLeft w:val="0"/>
                                                      <w:marRight w:val="0"/>
                                                      <w:marTop w:val="0"/>
                                                      <w:marBottom w:val="0"/>
                                                      <w:divBdr>
                                                        <w:top w:val="none" w:sz="0" w:space="0" w:color="auto"/>
                                                        <w:left w:val="none" w:sz="0" w:space="0" w:color="auto"/>
                                                        <w:bottom w:val="none" w:sz="0" w:space="0" w:color="auto"/>
                                                        <w:right w:val="none" w:sz="0" w:space="0" w:color="auto"/>
                                                      </w:divBdr>
                                                      <w:divsChild>
                                                        <w:div w:id="7523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318315">
      <w:bodyDiv w:val="1"/>
      <w:marLeft w:val="0"/>
      <w:marRight w:val="0"/>
      <w:marTop w:val="0"/>
      <w:marBottom w:val="0"/>
      <w:divBdr>
        <w:top w:val="none" w:sz="0" w:space="0" w:color="auto"/>
        <w:left w:val="none" w:sz="0" w:space="0" w:color="auto"/>
        <w:bottom w:val="none" w:sz="0" w:space="0" w:color="auto"/>
        <w:right w:val="none" w:sz="0" w:space="0" w:color="auto"/>
      </w:divBdr>
      <w:divsChild>
        <w:div w:id="716467116">
          <w:marLeft w:val="0"/>
          <w:marRight w:val="0"/>
          <w:marTop w:val="0"/>
          <w:marBottom w:val="0"/>
          <w:divBdr>
            <w:top w:val="none" w:sz="0" w:space="0" w:color="auto"/>
            <w:left w:val="none" w:sz="0" w:space="0" w:color="auto"/>
            <w:bottom w:val="none" w:sz="0" w:space="0" w:color="auto"/>
            <w:right w:val="none" w:sz="0" w:space="0" w:color="auto"/>
          </w:divBdr>
          <w:divsChild>
            <w:div w:id="1022048064">
              <w:marLeft w:val="0"/>
              <w:marRight w:val="0"/>
              <w:marTop w:val="0"/>
              <w:marBottom w:val="0"/>
              <w:divBdr>
                <w:top w:val="none" w:sz="0" w:space="0" w:color="auto"/>
                <w:left w:val="none" w:sz="0" w:space="0" w:color="auto"/>
                <w:bottom w:val="none" w:sz="0" w:space="0" w:color="auto"/>
                <w:right w:val="none" w:sz="0" w:space="0" w:color="auto"/>
              </w:divBdr>
              <w:divsChild>
                <w:div w:id="2112581945">
                  <w:marLeft w:val="0"/>
                  <w:marRight w:val="0"/>
                  <w:marTop w:val="0"/>
                  <w:marBottom w:val="0"/>
                  <w:divBdr>
                    <w:top w:val="none" w:sz="0" w:space="0" w:color="auto"/>
                    <w:left w:val="none" w:sz="0" w:space="0" w:color="auto"/>
                    <w:bottom w:val="none" w:sz="0" w:space="0" w:color="auto"/>
                    <w:right w:val="none" w:sz="0" w:space="0" w:color="auto"/>
                  </w:divBdr>
                  <w:divsChild>
                    <w:div w:id="1866096697">
                      <w:marLeft w:val="0"/>
                      <w:marRight w:val="0"/>
                      <w:marTop w:val="0"/>
                      <w:marBottom w:val="0"/>
                      <w:divBdr>
                        <w:top w:val="none" w:sz="0" w:space="0" w:color="auto"/>
                        <w:left w:val="none" w:sz="0" w:space="0" w:color="auto"/>
                        <w:bottom w:val="none" w:sz="0" w:space="0" w:color="auto"/>
                        <w:right w:val="none" w:sz="0" w:space="0" w:color="auto"/>
                      </w:divBdr>
                      <w:divsChild>
                        <w:div w:id="1489786245">
                          <w:marLeft w:val="0"/>
                          <w:marRight w:val="0"/>
                          <w:marTop w:val="0"/>
                          <w:marBottom w:val="0"/>
                          <w:divBdr>
                            <w:top w:val="none" w:sz="0" w:space="0" w:color="auto"/>
                            <w:left w:val="none" w:sz="0" w:space="0" w:color="auto"/>
                            <w:bottom w:val="none" w:sz="0" w:space="0" w:color="auto"/>
                            <w:right w:val="none" w:sz="0" w:space="0" w:color="auto"/>
                          </w:divBdr>
                          <w:divsChild>
                            <w:div w:id="252057801">
                              <w:marLeft w:val="0"/>
                              <w:marRight w:val="0"/>
                              <w:marTop w:val="0"/>
                              <w:marBottom w:val="0"/>
                              <w:divBdr>
                                <w:top w:val="none" w:sz="0" w:space="0" w:color="auto"/>
                                <w:left w:val="none" w:sz="0" w:space="0" w:color="auto"/>
                                <w:bottom w:val="none" w:sz="0" w:space="0" w:color="auto"/>
                                <w:right w:val="none" w:sz="0" w:space="0" w:color="auto"/>
                              </w:divBdr>
                              <w:divsChild>
                                <w:div w:id="10054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039392">
      <w:bodyDiv w:val="1"/>
      <w:marLeft w:val="0"/>
      <w:marRight w:val="0"/>
      <w:marTop w:val="0"/>
      <w:marBottom w:val="0"/>
      <w:divBdr>
        <w:top w:val="none" w:sz="0" w:space="0" w:color="auto"/>
        <w:left w:val="none" w:sz="0" w:space="0" w:color="auto"/>
        <w:bottom w:val="none" w:sz="0" w:space="0" w:color="auto"/>
        <w:right w:val="none" w:sz="0" w:space="0" w:color="auto"/>
      </w:divBdr>
      <w:divsChild>
        <w:div w:id="316570284">
          <w:marLeft w:val="0"/>
          <w:marRight w:val="0"/>
          <w:marTop w:val="0"/>
          <w:marBottom w:val="0"/>
          <w:divBdr>
            <w:top w:val="none" w:sz="0" w:space="0" w:color="auto"/>
            <w:left w:val="none" w:sz="0" w:space="0" w:color="auto"/>
            <w:bottom w:val="none" w:sz="0" w:space="0" w:color="auto"/>
            <w:right w:val="none" w:sz="0" w:space="0" w:color="auto"/>
          </w:divBdr>
          <w:divsChild>
            <w:div w:id="1939944062">
              <w:marLeft w:val="0"/>
              <w:marRight w:val="0"/>
              <w:marTop w:val="0"/>
              <w:marBottom w:val="0"/>
              <w:divBdr>
                <w:top w:val="none" w:sz="0" w:space="0" w:color="auto"/>
                <w:left w:val="none" w:sz="0" w:space="0" w:color="auto"/>
                <w:bottom w:val="none" w:sz="0" w:space="0" w:color="auto"/>
                <w:right w:val="none" w:sz="0" w:space="0" w:color="auto"/>
              </w:divBdr>
              <w:divsChild>
                <w:div w:id="16723692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3703">
      <w:bodyDiv w:val="1"/>
      <w:marLeft w:val="0"/>
      <w:marRight w:val="0"/>
      <w:marTop w:val="0"/>
      <w:marBottom w:val="0"/>
      <w:divBdr>
        <w:top w:val="none" w:sz="0" w:space="0" w:color="auto"/>
        <w:left w:val="none" w:sz="0" w:space="0" w:color="auto"/>
        <w:bottom w:val="none" w:sz="0" w:space="0" w:color="auto"/>
        <w:right w:val="none" w:sz="0" w:space="0" w:color="auto"/>
      </w:divBdr>
      <w:divsChild>
        <w:div w:id="469439054">
          <w:marLeft w:val="7"/>
          <w:marRight w:val="0"/>
          <w:marTop w:val="0"/>
          <w:marBottom w:val="0"/>
          <w:divBdr>
            <w:top w:val="none" w:sz="0" w:space="0" w:color="auto"/>
            <w:left w:val="none" w:sz="0" w:space="0" w:color="auto"/>
            <w:bottom w:val="none" w:sz="0" w:space="0" w:color="auto"/>
            <w:right w:val="none" w:sz="0" w:space="0" w:color="auto"/>
          </w:divBdr>
          <w:divsChild>
            <w:div w:id="1544099826">
              <w:marLeft w:val="0"/>
              <w:marRight w:val="0"/>
              <w:marTop w:val="0"/>
              <w:marBottom w:val="0"/>
              <w:divBdr>
                <w:top w:val="none" w:sz="0" w:space="0" w:color="auto"/>
                <w:left w:val="none" w:sz="0" w:space="0" w:color="auto"/>
                <w:bottom w:val="none" w:sz="0" w:space="0" w:color="auto"/>
                <w:right w:val="none" w:sz="0" w:space="0" w:color="auto"/>
              </w:divBdr>
              <w:divsChild>
                <w:div w:id="106200919">
                  <w:marLeft w:val="15"/>
                  <w:marRight w:val="-100"/>
                  <w:marTop w:val="0"/>
                  <w:marBottom w:val="0"/>
                  <w:divBdr>
                    <w:top w:val="none" w:sz="0" w:space="0" w:color="auto"/>
                    <w:left w:val="none" w:sz="0" w:space="0" w:color="auto"/>
                    <w:bottom w:val="none" w:sz="0" w:space="0" w:color="auto"/>
                    <w:right w:val="none" w:sz="0" w:space="0" w:color="auto"/>
                  </w:divBdr>
                  <w:divsChild>
                    <w:div w:id="1054963273">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2363">
      <w:bodyDiv w:val="1"/>
      <w:marLeft w:val="0"/>
      <w:marRight w:val="0"/>
      <w:marTop w:val="0"/>
      <w:marBottom w:val="0"/>
      <w:divBdr>
        <w:top w:val="none" w:sz="0" w:space="0" w:color="auto"/>
        <w:left w:val="none" w:sz="0" w:space="0" w:color="auto"/>
        <w:bottom w:val="none" w:sz="0" w:space="0" w:color="auto"/>
        <w:right w:val="none" w:sz="0" w:space="0" w:color="auto"/>
      </w:divBdr>
      <w:divsChild>
        <w:div w:id="1206137041">
          <w:marLeft w:val="0"/>
          <w:marRight w:val="0"/>
          <w:marTop w:val="0"/>
          <w:marBottom w:val="0"/>
          <w:divBdr>
            <w:top w:val="none" w:sz="0" w:space="0" w:color="auto"/>
            <w:left w:val="none" w:sz="0" w:space="0" w:color="auto"/>
            <w:bottom w:val="none" w:sz="0" w:space="0" w:color="auto"/>
            <w:right w:val="none" w:sz="0" w:space="0" w:color="auto"/>
          </w:divBdr>
          <w:divsChild>
            <w:div w:id="952974736">
              <w:marLeft w:val="0"/>
              <w:marRight w:val="0"/>
              <w:marTop w:val="0"/>
              <w:marBottom w:val="0"/>
              <w:divBdr>
                <w:top w:val="none" w:sz="0" w:space="0" w:color="auto"/>
                <w:left w:val="none" w:sz="0" w:space="0" w:color="auto"/>
                <w:bottom w:val="none" w:sz="0" w:space="0" w:color="auto"/>
                <w:right w:val="none" w:sz="0" w:space="0" w:color="auto"/>
              </w:divBdr>
              <w:divsChild>
                <w:div w:id="1045520339">
                  <w:marLeft w:val="0"/>
                  <w:marRight w:val="0"/>
                  <w:marTop w:val="0"/>
                  <w:marBottom w:val="0"/>
                  <w:divBdr>
                    <w:top w:val="none" w:sz="0" w:space="0" w:color="auto"/>
                    <w:left w:val="none" w:sz="0" w:space="0" w:color="auto"/>
                    <w:bottom w:val="none" w:sz="0" w:space="0" w:color="auto"/>
                    <w:right w:val="none" w:sz="0" w:space="0" w:color="auto"/>
                  </w:divBdr>
                  <w:divsChild>
                    <w:div w:id="1308781070">
                      <w:marLeft w:val="0"/>
                      <w:marRight w:val="0"/>
                      <w:marTop w:val="0"/>
                      <w:marBottom w:val="0"/>
                      <w:divBdr>
                        <w:top w:val="none" w:sz="0" w:space="0" w:color="auto"/>
                        <w:left w:val="none" w:sz="0" w:space="0" w:color="auto"/>
                        <w:bottom w:val="none" w:sz="0" w:space="0" w:color="auto"/>
                        <w:right w:val="none" w:sz="0" w:space="0" w:color="auto"/>
                      </w:divBdr>
                      <w:divsChild>
                        <w:div w:id="2132089997">
                          <w:marLeft w:val="0"/>
                          <w:marRight w:val="0"/>
                          <w:marTop w:val="0"/>
                          <w:marBottom w:val="0"/>
                          <w:divBdr>
                            <w:top w:val="none" w:sz="0" w:space="0" w:color="auto"/>
                            <w:left w:val="none" w:sz="0" w:space="0" w:color="auto"/>
                            <w:bottom w:val="none" w:sz="0" w:space="0" w:color="auto"/>
                            <w:right w:val="none" w:sz="0" w:space="0" w:color="auto"/>
                          </w:divBdr>
                          <w:divsChild>
                            <w:div w:id="1979145186">
                              <w:marLeft w:val="0"/>
                              <w:marRight w:val="0"/>
                              <w:marTop w:val="0"/>
                              <w:marBottom w:val="0"/>
                              <w:divBdr>
                                <w:top w:val="none" w:sz="0" w:space="0" w:color="auto"/>
                                <w:left w:val="none" w:sz="0" w:space="0" w:color="auto"/>
                                <w:bottom w:val="none" w:sz="0" w:space="0" w:color="auto"/>
                                <w:right w:val="none" w:sz="0" w:space="0" w:color="auto"/>
                              </w:divBdr>
                              <w:divsChild>
                                <w:div w:id="411702470">
                                  <w:marLeft w:val="0"/>
                                  <w:marRight w:val="0"/>
                                  <w:marTop w:val="0"/>
                                  <w:marBottom w:val="0"/>
                                  <w:divBdr>
                                    <w:top w:val="none" w:sz="0" w:space="0" w:color="auto"/>
                                    <w:left w:val="none" w:sz="0" w:space="0" w:color="auto"/>
                                    <w:bottom w:val="none" w:sz="0" w:space="0" w:color="auto"/>
                                    <w:right w:val="none" w:sz="0" w:space="0" w:color="auto"/>
                                  </w:divBdr>
                                  <w:divsChild>
                                    <w:div w:id="986589548">
                                      <w:marLeft w:val="0"/>
                                      <w:marRight w:val="0"/>
                                      <w:marTop w:val="0"/>
                                      <w:marBottom w:val="0"/>
                                      <w:divBdr>
                                        <w:top w:val="none" w:sz="0" w:space="0" w:color="auto"/>
                                        <w:left w:val="none" w:sz="0" w:space="0" w:color="auto"/>
                                        <w:bottom w:val="none" w:sz="0" w:space="0" w:color="auto"/>
                                        <w:right w:val="none" w:sz="0" w:space="0" w:color="auto"/>
                                      </w:divBdr>
                                      <w:divsChild>
                                        <w:div w:id="1776901642">
                                          <w:marLeft w:val="0"/>
                                          <w:marRight w:val="0"/>
                                          <w:marTop w:val="0"/>
                                          <w:marBottom w:val="0"/>
                                          <w:divBdr>
                                            <w:top w:val="none" w:sz="0" w:space="0" w:color="auto"/>
                                            <w:left w:val="none" w:sz="0" w:space="0" w:color="auto"/>
                                            <w:bottom w:val="none" w:sz="0" w:space="0" w:color="auto"/>
                                            <w:right w:val="none" w:sz="0" w:space="0" w:color="auto"/>
                                          </w:divBdr>
                                          <w:divsChild>
                                            <w:div w:id="1700278582">
                                              <w:marLeft w:val="0"/>
                                              <w:marRight w:val="0"/>
                                              <w:marTop w:val="0"/>
                                              <w:marBottom w:val="0"/>
                                              <w:divBdr>
                                                <w:top w:val="none" w:sz="0" w:space="0" w:color="auto"/>
                                                <w:left w:val="none" w:sz="0" w:space="0" w:color="auto"/>
                                                <w:bottom w:val="none" w:sz="0" w:space="0" w:color="auto"/>
                                                <w:right w:val="none" w:sz="0" w:space="0" w:color="auto"/>
                                              </w:divBdr>
                                              <w:divsChild>
                                                <w:div w:id="417022409">
                                                  <w:marLeft w:val="0"/>
                                                  <w:marRight w:val="0"/>
                                                  <w:marTop w:val="0"/>
                                                  <w:marBottom w:val="0"/>
                                                  <w:divBdr>
                                                    <w:top w:val="none" w:sz="0" w:space="0" w:color="auto"/>
                                                    <w:left w:val="none" w:sz="0" w:space="0" w:color="auto"/>
                                                    <w:bottom w:val="none" w:sz="0" w:space="0" w:color="auto"/>
                                                    <w:right w:val="none" w:sz="0" w:space="0" w:color="auto"/>
                                                  </w:divBdr>
                                                  <w:divsChild>
                                                    <w:div w:id="1368287904">
                                                      <w:marLeft w:val="0"/>
                                                      <w:marRight w:val="0"/>
                                                      <w:marTop w:val="0"/>
                                                      <w:marBottom w:val="0"/>
                                                      <w:divBdr>
                                                        <w:top w:val="none" w:sz="0" w:space="0" w:color="auto"/>
                                                        <w:left w:val="none" w:sz="0" w:space="0" w:color="auto"/>
                                                        <w:bottom w:val="none" w:sz="0" w:space="0" w:color="auto"/>
                                                        <w:right w:val="none" w:sz="0" w:space="0" w:color="auto"/>
                                                      </w:divBdr>
                                                      <w:divsChild>
                                                        <w:div w:id="14844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3118346">
      <w:bodyDiv w:val="1"/>
      <w:marLeft w:val="0"/>
      <w:marRight w:val="0"/>
      <w:marTop w:val="0"/>
      <w:marBottom w:val="0"/>
      <w:divBdr>
        <w:top w:val="none" w:sz="0" w:space="0" w:color="auto"/>
        <w:left w:val="none" w:sz="0" w:space="0" w:color="auto"/>
        <w:bottom w:val="none" w:sz="0" w:space="0" w:color="auto"/>
        <w:right w:val="none" w:sz="0" w:space="0" w:color="auto"/>
      </w:divBdr>
      <w:divsChild>
        <w:div w:id="1445808800">
          <w:marLeft w:val="0"/>
          <w:marRight w:val="0"/>
          <w:marTop w:val="0"/>
          <w:marBottom w:val="0"/>
          <w:divBdr>
            <w:top w:val="none" w:sz="0" w:space="0" w:color="auto"/>
            <w:left w:val="none" w:sz="0" w:space="0" w:color="auto"/>
            <w:bottom w:val="none" w:sz="0" w:space="0" w:color="auto"/>
            <w:right w:val="none" w:sz="0" w:space="0" w:color="auto"/>
          </w:divBdr>
          <w:divsChild>
            <w:div w:id="1897087990">
              <w:marLeft w:val="0"/>
              <w:marRight w:val="0"/>
              <w:marTop w:val="0"/>
              <w:marBottom w:val="0"/>
              <w:divBdr>
                <w:top w:val="none" w:sz="0" w:space="0" w:color="auto"/>
                <w:left w:val="none" w:sz="0" w:space="0" w:color="auto"/>
                <w:bottom w:val="none" w:sz="0" w:space="0" w:color="auto"/>
                <w:right w:val="none" w:sz="0" w:space="0" w:color="auto"/>
              </w:divBdr>
              <w:divsChild>
                <w:div w:id="12984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32369">
      <w:bodyDiv w:val="1"/>
      <w:marLeft w:val="0"/>
      <w:marRight w:val="0"/>
      <w:marTop w:val="0"/>
      <w:marBottom w:val="0"/>
      <w:divBdr>
        <w:top w:val="none" w:sz="0" w:space="0" w:color="auto"/>
        <w:left w:val="none" w:sz="0" w:space="0" w:color="auto"/>
        <w:bottom w:val="none" w:sz="0" w:space="0" w:color="auto"/>
        <w:right w:val="none" w:sz="0" w:space="0" w:color="auto"/>
      </w:divBdr>
      <w:divsChild>
        <w:div w:id="1887060746">
          <w:marLeft w:val="0"/>
          <w:marRight w:val="0"/>
          <w:marTop w:val="0"/>
          <w:marBottom w:val="0"/>
          <w:divBdr>
            <w:top w:val="none" w:sz="0" w:space="0" w:color="auto"/>
            <w:left w:val="none" w:sz="0" w:space="0" w:color="auto"/>
            <w:bottom w:val="none" w:sz="0" w:space="0" w:color="auto"/>
            <w:right w:val="none" w:sz="0" w:space="0" w:color="auto"/>
          </w:divBdr>
          <w:divsChild>
            <w:div w:id="2128161835">
              <w:marLeft w:val="0"/>
              <w:marRight w:val="0"/>
              <w:marTop w:val="0"/>
              <w:marBottom w:val="0"/>
              <w:divBdr>
                <w:top w:val="none" w:sz="0" w:space="0" w:color="auto"/>
                <w:left w:val="none" w:sz="0" w:space="0" w:color="auto"/>
                <w:bottom w:val="none" w:sz="0" w:space="0" w:color="auto"/>
                <w:right w:val="none" w:sz="0" w:space="0" w:color="auto"/>
              </w:divBdr>
              <w:divsChild>
                <w:div w:id="1951358462">
                  <w:marLeft w:val="0"/>
                  <w:marRight w:val="0"/>
                  <w:marTop w:val="0"/>
                  <w:marBottom w:val="0"/>
                  <w:divBdr>
                    <w:top w:val="none" w:sz="0" w:space="0" w:color="auto"/>
                    <w:left w:val="none" w:sz="0" w:space="0" w:color="auto"/>
                    <w:bottom w:val="none" w:sz="0" w:space="0" w:color="auto"/>
                    <w:right w:val="none" w:sz="0" w:space="0" w:color="auto"/>
                  </w:divBdr>
                  <w:divsChild>
                    <w:div w:id="102923105">
                      <w:marLeft w:val="0"/>
                      <w:marRight w:val="0"/>
                      <w:marTop w:val="0"/>
                      <w:marBottom w:val="1095"/>
                      <w:divBdr>
                        <w:top w:val="none" w:sz="0" w:space="0" w:color="auto"/>
                        <w:left w:val="none" w:sz="0" w:space="0" w:color="auto"/>
                        <w:bottom w:val="none" w:sz="0" w:space="0" w:color="auto"/>
                        <w:right w:val="none" w:sz="0" w:space="0" w:color="auto"/>
                      </w:divBdr>
                    </w:div>
                  </w:divsChild>
                </w:div>
              </w:divsChild>
            </w:div>
          </w:divsChild>
        </w:div>
      </w:divsChild>
    </w:div>
    <w:div w:id="1809742884">
      <w:bodyDiv w:val="1"/>
      <w:marLeft w:val="0"/>
      <w:marRight w:val="0"/>
      <w:marTop w:val="0"/>
      <w:marBottom w:val="0"/>
      <w:divBdr>
        <w:top w:val="none" w:sz="0" w:space="0" w:color="auto"/>
        <w:left w:val="none" w:sz="0" w:space="0" w:color="auto"/>
        <w:bottom w:val="none" w:sz="0" w:space="0" w:color="auto"/>
        <w:right w:val="none" w:sz="0" w:space="0" w:color="auto"/>
      </w:divBdr>
      <w:divsChild>
        <w:div w:id="2139495892">
          <w:marLeft w:val="0"/>
          <w:marRight w:val="0"/>
          <w:marTop w:val="0"/>
          <w:marBottom w:val="0"/>
          <w:divBdr>
            <w:top w:val="none" w:sz="0" w:space="0" w:color="auto"/>
            <w:left w:val="none" w:sz="0" w:space="0" w:color="auto"/>
            <w:bottom w:val="none" w:sz="0" w:space="0" w:color="auto"/>
            <w:right w:val="none" w:sz="0" w:space="0" w:color="auto"/>
          </w:divBdr>
          <w:divsChild>
            <w:div w:id="1587153697">
              <w:marLeft w:val="0"/>
              <w:marRight w:val="0"/>
              <w:marTop w:val="0"/>
              <w:marBottom w:val="0"/>
              <w:divBdr>
                <w:top w:val="none" w:sz="0" w:space="0" w:color="auto"/>
                <w:left w:val="none" w:sz="0" w:space="0" w:color="auto"/>
                <w:bottom w:val="none" w:sz="0" w:space="0" w:color="auto"/>
                <w:right w:val="none" w:sz="0" w:space="0" w:color="auto"/>
              </w:divBdr>
              <w:divsChild>
                <w:div w:id="1259020983">
                  <w:marLeft w:val="0"/>
                  <w:marRight w:val="0"/>
                  <w:marTop w:val="0"/>
                  <w:marBottom w:val="0"/>
                  <w:divBdr>
                    <w:top w:val="none" w:sz="0" w:space="0" w:color="auto"/>
                    <w:left w:val="none" w:sz="0" w:space="0" w:color="auto"/>
                    <w:bottom w:val="none" w:sz="0" w:space="0" w:color="auto"/>
                    <w:right w:val="none" w:sz="0" w:space="0" w:color="auto"/>
                  </w:divBdr>
                  <w:divsChild>
                    <w:div w:id="400296142">
                      <w:marLeft w:val="0"/>
                      <w:marRight w:val="0"/>
                      <w:marTop w:val="0"/>
                      <w:marBottom w:val="0"/>
                      <w:divBdr>
                        <w:top w:val="none" w:sz="0" w:space="0" w:color="auto"/>
                        <w:left w:val="none" w:sz="0" w:space="0" w:color="auto"/>
                        <w:bottom w:val="none" w:sz="0" w:space="0" w:color="auto"/>
                        <w:right w:val="none" w:sz="0" w:space="0" w:color="auto"/>
                      </w:divBdr>
                      <w:divsChild>
                        <w:div w:id="1834636715">
                          <w:marLeft w:val="0"/>
                          <w:marRight w:val="0"/>
                          <w:marTop w:val="0"/>
                          <w:marBottom w:val="0"/>
                          <w:divBdr>
                            <w:top w:val="none" w:sz="0" w:space="0" w:color="auto"/>
                            <w:left w:val="none" w:sz="0" w:space="0" w:color="auto"/>
                            <w:bottom w:val="none" w:sz="0" w:space="0" w:color="auto"/>
                            <w:right w:val="none" w:sz="0" w:space="0" w:color="auto"/>
                          </w:divBdr>
                          <w:divsChild>
                            <w:div w:id="589004565">
                              <w:marLeft w:val="0"/>
                              <w:marRight w:val="0"/>
                              <w:marTop w:val="0"/>
                              <w:marBottom w:val="0"/>
                              <w:divBdr>
                                <w:top w:val="none" w:sz="0" w:space="0" w:color="auto"/>
                                <w:left w:val="none" w:sz="0" w:space="0" w:color="auto"/>
                                <w:bottom w:val="none" w:sz="0" w:space="0" w:color="auto"/>
                                <w:right w:val="none" w:sz="0" w:space="0" w:color="auto"/>
                              </w:divBdr>
                              <w:divsChild>
                                <w:div w:id="1388797650">
                                  <w:marLeft w:val="0"/>
                                  <w:marRight w:val="0"/>
                                  <w:marTop w:val="0"/>
                                  <w:marBottom w:val="0"/>
                                  <w:divBdr>
                                    <w:top w:val="none" w:sz="0" w:space="0" w:color="auto"/>
                                    <w:left w:val="none" w:sz="0" w:space="0" w:color="auto"/>
                                    <w:bottom w:val="none" w:sz="0" w:space="0" w:color="auto"/>
                                    <w:right w:val="none" w:sz="0" w:space="0" w:color="auto"/>
                                  </w:divBdr>
                                </w:div>
                                <w:div w:id="10675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968410">
      <w:bodyDiv w:val="1"/>
      <w:marLeft w:val="0"/>
      <w:marRight w:val="0"/>
      <w:marTop w:val="0"/>
      <w:marBottom w:val="0"/>
      <w:divBdr>
        <w:top w:val="none" w:sz="0" w:space="0" w:color="auto"/>
        <w:left w:val="none" w:sz="0" w:space="0" w:color="auto"/>
        <w:bottom w:val="none" w:sz="0" w:space="0" w:color="auto"/>
        <w:right w:val="none" w:sz="0" w:space="0" w:color="auto"/>
      </w:divBdr>
      <w:divsChild>
        <w:div w:id="2046053484">
          <w:marLeft w:val="7"/>
          <w:marRight w:val="0"/>
          <w:marTop w:val="0"/>
          <w:marBottom w:val="0"/>
          <w:divBdr>
            <w:top w:val="none" w:sz="0" w:space="0" w:color="auto"/>
            <w:left w:val="none" w:sz="0" w:space="0" w:color="auto"/>
            <w:bottom w:val="none" w:sz="0" w:space="0" w:color="auto"/>
            <w:right w:val="none" w:sz="0" w:space="0" w:color="auto"/>
          </w:divBdr>
          <w:divsChild>
            <w:div w:id="1494298964">
              <w:marLeft w:val="0"/>
              <w:marRight w:val="0"/>
              <w:marTop w:val="0"/>
              <w:marBottom w:val="0"/>
              <w:divBdr>
                <w:top w:val="none" w:sz="0" w:space="0" w:color="auto"/>
                <w:left w:val="none" w:sz="0" w:space="0" w:color="auto"/>
                <w:bottom w:val="none" w:sz="0" w:space="0" w:color="auto"/>
                <w:right w:val="none" w:sz="0" w:space="0" w:color="auto"/>
              </w:divBdr>
              <w:divsChild>
                <w:div w:id="1650133432">
                  <w:marLeft w:val="0"/>
                  <w:marRight w:val="-100"/>
                  <w:marTop w:val="0"/>
                  <w:marBottom w:val="0"/>
                  <w:divBdr>
                    <w:top w:val="none" w:sz="0" w:space="0" w:color="auto"/>
                    <w:left w:val="none" w:sz="0" w:space="0" w:color="auto"/>
                    <w:bottom w:val="none" w:sz="0" w:space="0" w:color="auto"/>
                    <w:right w:val="none" w:sz="0" w:space="0" w:color="auto"/>
                  </w:divBdr>
                  <w:divsChild>
                    <w:div w:id="1426340617">
                      <w:marLeft w:val="2985"/>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87181">
      <w:bodyDiv w:val="1"/>
      <w:marLeft w:val="0"/>
      <w:marRight w:val="0"/>
      <w:marTop w:val="0"/>
      <w:marBottom w:val="0"/>
      <w:divBdr>
        <w:top w:val="none" w:sz="0" w:space="0" w:color="auto"/>
        <w:left w:val="none" w:sz="0" w:space="0" w:color="auto"/>
        <w:bottom w:val="none" w:sz="0" w:space="0" w:color="auto"/>
        <w:right w:val="none" w:sz="0" w:space="0" w:color="auto"/>
      </w:divBdr>
      <w:divsChild>
        <w:div w:id="2093429917">
          <w:marLeft w:val="7"/>
          <w:marRight w:val="0"/>
          <w:marTop w:val="0"/>
          <w:marBottom w:val="0"/>
          <w:divBdr>
            <w:top w:val="none" w:sz="0" w:space="0" w:color="auto"/>
            <w:left w:val="none" w:sz="0" w:space="0" w:color="auto"/>
            <w:bottom w:val="none" w:sz="0" w:space="0" w:color="auto"/>
            <w:right w:val="none" w:sz="0" w:space="0" w:color="auto"/>
          </w:divBdr>
          <w:divsChild>
            <w:div w:id="167137833">
              <w:marLeft w:val="0"/>
              <w:marRight w:val="0"/>
              <w:marTop w:val="0"/>
              <w:marBottom w:val="0"/>
              <w:divBdr>
                <w:top w:val="none" w:sz="0" w:space="0" w:color="auto"/>
                <w:left w:val="none" w:sz="0" w:space="0" w:color="auto"/>
                <w:bottom w:val="none" w:sz="0" w:space="0" w:color="auto"/>
                <w:right w:val="none" w:sz="0" w:space="0" w:color="auto"/>
              </w:divBdr>
              <w:divsChild>
                <w:div w:id="1659725488">
                  <w:marLeft w:val="15"/>
                  <w:marRight w:val="-100"/>
                  <w:marTop w:val="0"/>
                  <w:marBottom w:val="0"/>
                  <w:divBdr>
                    <w:top w:val="none" w:sz="0" w:space="0" w:color="auto"/>
                    <w:left w:val="none" w:sz="0" w:space="0" w:color="auto"/>
                    <w:bottom w:val="none" w:sz="0" w:space="0" w:color="auto"/>
                    <w:right w:val="none" w:sz="0" w:space="0" w:color="auto"/>
                  </w:divBdr>
                  <w:divsChild>
                    <w:div w:id="1896165045">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www.uws.edu.au/__data/assets/pdf_file/.../KerriLee_website.pdf" TargetMode="External"/><Relationship Id="rId13" Type="http://schemas.openxmlformats.org/officeDocument/2006/relationships/hyperlink" Target="http://www.dest.gov.au/sectors/indigenous_education" TargetMode="External"/><Relationship Id="rId18" Type="http://schemas.openxmlformats.org/officeDocument/2006/relationships/hyperlink" Target="http://www.immi.gov.au/students/_pdf/2011-knight-review.pdf" TargetMode="External"/><Relationship Id="rId3" Type="http://schemas.openxmlformats.org/officeDocument/2006/relationships/hyperlink" Target="http://www.teqsa.gov.au" TargetMode="External"/><Relationship Id="rId7" Type="http://schemas.openxmlformats.org/officeDocument/2006/relationships/hyperlink" Target="http://www.comlaw.gov.au" TargetMode="External"/><Relationship Id="rId12" Type="http://schemas.openxmlformats.org/officeDocument/2006/relationships/hyperlink" Target="http://go8.edu.au/_documents/go8-policy-analysis/2012/go8policynote3_universityadmissions.pdf" TargetMode="External"/><Relationship Id="rId17" Type="http://schemas.openxmlformats.org/officeDocument/2006/relationships/hyperlink" Target="http://www.aei.gov.au" TargetMode="External"/><Relationship Id="rId2" Type="http://schemas.openxmlformats.org/officeDocument/2006/relationships/hyperlink" Target="http://www.abc.net.au/news/2012-07-25/hilmer-addresses-the-national-press-club/4153934" TargetMode="External"/><Relationship Id="rId16" Type="http://schemas.openxmlformats.org/officeDocument/2006/relationships/hyperlink" Target="http://www.cricos.deewr.gov.au" TargetMode="External"/><Relationship Id="rId20" Type="http://schemas.openxmlformats.org/officeDocument/2006/relationships/hyperlink" Target="http://www.olt.gov.au" TargetMode="External"/><Relationship Id="rId1" Type="http://schemas.openxmlformats.org/officeDocument/2006/relationships/hyperlink" Target="http://www.theaustralian.com.au/higher-education/unis-hit-by-reform-red-tape-hilmer/story-e6frgcjx-1226435193602" TargetMode="External"/><Relationship Id="rId6" Type="http://schemas.openxmlformats.org/officeDocument/2006/relationships/hyperlink" Target="http://www.teqsa.gov.au/" TargetMode="External"/><Relationship Id="rId11" Type="http://schemas.openxmlformats.org/officeDocument/2006/relationships/hyperlink" Target="http://www.teqsa.gov.au/sites/default/files/TEQSA%20Regulatory%20Risk%20Framework%20Feb%202012.pdf" TargetMode="External"/><Relationship Id="rId5" Type="http://schemas.openxmlformats.org/officeDocument/2006/relationships/hyperlink" Target="http://www.deewr.gov.au/HigherEducation/Review/Pages/FuturedirectionsforTertiaryEducation" TargetMode="External"/><Relationship Id="rId15" Type="http://schemas.openxmlformats.org/officeDocument/2006/relationships/hyperlink" Target="http://www.ombudsman.vic.gov.au" TargetMode="External"/><Relationship Id="rId10" Type="http://schemas.openxmlformats.org/officeDocument/2006/relationships/hyperlink" Target="http://www.teqsa.gov.au/sites/default/files/TEQSA%20Regulatory%20Risk%20Framework%20Feb%202012.pdf" TargetMode="External"/><Relationship Id="rId19" Type="http://schemas.openxmlformats.org/officeDocument/2006/relationships/hyperlink" Target="http://www.olt.gov.au/resources?text=student+grievances+and+discipline+matters" TargetMode="External"/><Relationship Id="rId4" Type="http://schemas.openxmlformats.org/officeDocument/2006/relationships/hyperlink" Target="http://www.aei.gov.au" TargetMode="External"/><Relationship Id="rId9" Type="http://schemas.openxmlformats.org/officeDocument/2006/relationships/hyperlink" Target="http://www.nhmrc.gov.au/guidelines/publications/r3.%20" TargetMode="External"/><Relationship Id="rId14" Type="http://schemas.openxmlformats.org/officeDocument/2006/relationships/hyperlink" Target="http://www.go8.edu.au/university-staff/agreements/the-importance-of-international-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10251</Words>
  <Characters>58432</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68546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Varnham</dc:creator>
  <cp:lastModifiedBy>Tim</cp:lastModifiedBy>
  <cp:revision>2</cp:revision>
  <cp:lastPrinted>2012-08-03T07:14:00Z</cp:lastPrinted>
  <dcterms:created xsi:type="dcterms:W3CDTF">2013-02-11T15:03:00Z</dcterms:created>
  <dcterms:modified xsi:type="dcterms:W3CDTF">2013-02-11T15:03:00Z</dcterms:modified>
</cp:coreProperties>
</file>