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C27" w:rsidRDefault="007B5A06">
      <w:pPr>
        <w:rPr>
          <w:rFonts w:ascii="Arial Black" w:hAnsi="Arial Black"/>
          <w:sz w:val="24"/>
          <w:szCs w:val="24"/>
        </w:rPr>
      </w:pPr>
      <w:r>
        <w:rPr>
          <w:rFonts w:ascii="Arial Black" w:hAnsi="Arial Black"/>
          <w:sz w:val="24"/>
          <w:szCs w:val="24"/>
        </w:rPr>
        <w:t>HEREG16</w:t>
      </w:r>
    </w:p>
    <w:p w:rsidR="00350E9B" w:rsidRDefault="00350E9B">
      <w:pPr>
        <w:rPr>
          <w:rFonts w:ascii="Arial Black" w:hAnsi="Arial Black"/>
          <w:sz w:val="24"/>
          <w:szCs w:val="24"/>
        </w:rPr>
      </w:pPr>
      <w:r>
        <w:rPr>
          <w:rFonts w:ascii="Arial Black" w:hAnsi="Arial Black"/>
          <w:sz w:val="24"/>
          <w:szCs w:val="24"/>
        </w:rPr>
        <w:t>August 2016</w:t>
      </w:r>
    </w:p>
    <w:p w:rsidR="007B5A06" w:rsidRDefault="007B5A06">
      <w:pPr>
        <w:rPr>
          <w:rFonts w:ascii="Arial Black" w:hAnsi="Arial Black"/>
          <w:sz w:val="24"/>
          <w:szCs w:val="24"/>
        </w:rPr>
      </w:pPr>
      <w:proofErr w:type="spellStart"/>
      <w:r>
        <w:rPr>
          <w:rFonts w:ascii="Arial Black" w:hAnsi="Arial Black"/>
          <w:sz w:val="24"/>
          <w:szCs w:val="24"/>
        </w:rPr>
        <w:t>OxCHEPS</w:t>
      </w:r>
      <w:proofErr w:type="spellEnd"/>
      <w:r>
        <w:rPr>
          <w:rFonts w:ascii="Arial Black" w:hAnsi="Arial Black"/>
          <w:sz w:val="24"/>
          <w:szCs w:val="24"/>
        </w:rPr>
        <w:t xml:space="preserve"> Occasional Paper No. </w:t>
      </w:r>
      <w:r w:rsidR="004B739A">
        <w:rPr>
          <w:rFonts w:ascii="Arial Black" w:hAnsi="Arial Black"/>
          <w:sz w:val="24"/>
          <w:szCs w:val="24"/>
        </w:rPr>
        <w:t>61</w:t>
      </w:r>
      <w:r>
        <w:rPr>
          <w:rFonts w:ascii="Arial Black" w:hAnsi="Arial Black"/>
          <w:sz w:val="24"/>
          <w:szCs w:val="24"/>
        </w:rPr>
        <w:t xml:space="preserve"> </w:t>
      </w:r>
      <w:proofErr w:type="gramStart"/>
      <w:r>
        <w:rPr>
          <w:rFonts w:ascii="Arial Black" w:hAnsi="Arial Black"/>
          <w:sz w:val="24"/>
          <w:szCs w:val="24"/>
        </w:rPr>
        <w:t>( oxcheps.new.ox.ac.uk</w:t>
      </w:r>
      <w:proofErr w:type="gramEnd"/>
      <w:r>
        <w:rPr>
          <w:rFonts w:ascii="Arial Black" w:hAnsi="Arial Black"/>
          <w:sz w:val="24"/>
          <w:szCs w:val="24"/>
        </w:rPr>
        <w:t xml:space="preserve"> )</w:t>
      </w:r>
    </w:p>
    <w:p w:rsidR="003A6148" w:rsidRDefault="003A6148">
      <w:pPr>
        <w:rPr>
          <w:rFonts w:ascii="Arial Black" w:hAnsi="Arial Black"/>
          <w:i/>
          <w:sz w:val="24"/>
          <w:szCs w:val="24"/>
        </w:rPr>
      </w:pPr>
    </w:p>
    <w:p w:rsidR="003A6148" w:rsidRDefault="007B5A06">
      <w:pPr>
        <w:rPr>
          <w:rFonts w:ascii="Arial Black" w:hAnsi="Arial Black"/>
          <w:i/>
          <w:sz w:val="24"/>
          <w:szCs w:val="24"/>
        </w:rPr>
      </w:pPr>
      <w:r w:rsidRPr="004B739A">
        <w:rPr>
          <w:rFonts w:ascii="Arial Black" w:hAnsi="Arial Black"/>
          <w:i/>
          <w:sz w:val="24"/>
          <w:szCs w:val="24"/>
        </w:rPr>
        <w:t xml:space="preserve">CAN AN </w:t>
      </w:r>
      <w:proofErr w:type="spellStart"/>
      <w:r w:rsidRPr="004B739A">
        <w:rPr>
          <w:rFonts w:ascii="Arial Black" w:hAnsi="Arial Black"/>
          <w:i/>
          <w:sz w:val="24"/>
          <w:szCs w:val="24"/>
        </w:rPr>
        <w:t>OfS</w:t>
      </w:r>
      <w:proofErr w:type="spellEnd"/>
      <w:r w:rsidRPr="004B739A">
        <w:rPr>
          <w:rFonts w:ascii="Arial Black" w:hAnsi="Arial Black"/>
          <w:i/>
          <w:sz w:val="24"/>
          <w:szCs w:val="24"/>
        </w:rPr>
        <w:t xml:space="preserve"> AND A TEF PREVENT ENGLISH UNDERGRADUATE HE BECOMING THE MIS-SELLING SCANDAL OF THE 2020s?</w:t>
      </w:r>
      <w:r w:rsidR="003A6148">
        <w:rPr>
          <w:rFonts w:ascii="Arial Black" w:hAnsi="Arial Black"/>
          <w:i/>
          <w:sz w:val="24"/>
          <w:szCs w:val="24"/>
        </w:rPr>
        <w:t xml:space="preserve"> – Is there a regulatory solution?</w:t>
      </w:r>
    </w:p>
    <w:p w:rsidR="007B5A06" w:rsidRPr="004B739A" w:rsidRDefault="003A6148">
      <w:pPr>
        <w:rPr>
          <w:rFonts w:ascii="Arial Black" w:hAnsi="Arial Black"/>
          <w:i/>
          <w:sz w:val="24"/>
          <w:szCs w:val="24"/>
        </w:rPr>
      </w:pPr>
      <w:r>
        <w:rPr>
          <w:rFonts w:ascii="Arial Black" w:hAnsi="Arial Black"/>
          <w:i/>
          <w:sz w:val="24"/>
          <w:szCs w:val="24"/>
        </w:rPr>
        <w:t xml:space="preserve"> </w:t>
      </w:r>
      <w:r w:rsidR="007B5A06" w:rsidRPr="004B739A">
        <w:rPr>
          <w:rFonts w:ascii="Arial Black" w:hAnsi="Arial Black"/>
          <w:i/>
          <w:sz w:val="24"/>
          <w:szCs w:val="24"/>
        </w:rPr>
        <w:t xml:space="preserve"> </w:t>
      </w:r>
    </w:p>
    <w:p w:rsidR="007B5A06" w:rsidRDefault="007B5A06">
      <w:pPr>
        <w:rPr>
          <w:rFonts w:ascii="Arial Black" w:hAnsi="Arial Black"/>
          <w:sz w:val="24"/>
          <w:szCs w:val="24"/>
        </w:rPr>
      </w:pPr>
      <w:r>
        <w:rPr>
          <w:rFonts w:ascii="Arial Black" w:hAnsi="Arial Black"/>
          <w:sz w:val="24"/>
          <w:szCs w:val="24"/>
        </w:rPr>
        <w:t>Christopher Hodges, MA PhD FSALS, Professor of Justice Systems, University of Oxford</w:t>
      </w:r>
    </w:p>
    <w:p w:rsidR="007B5A06" w:rsidRDefault="007B5A06">
      <w:pPr>
        <w:rPr>
          <w:rFonts w:ascii="Arial Black" w:hAnsi="Arial Black"/>
          <w:sz w:val="24"/>
          <w:szCs w:val="24"/>
        </w:rPr>
      </w:pPr>
      <w:r>
        <w:rPr>
          <w:rFonts w:ascii="Arial Black" w:hAnsi="Arial Black"/>
          <w:sz w:val="24"/>
          <w:szCs w:val="24"/>
        </w:rPr>
        <w:t xml:space="preserve">&amp; </w:t>
      </w:r>
    </w:p>
    <w:p w:rsidR="007B5A06" w:rsidRDefault="007B5A06">
      <w:pPr>
        <w:rPr>
          <w:rFonts w:ascii="Arial Black" w:hAnsi="Arial Black"/>
          <w:sz w:val="24"/>
          <w:szCs w:val="24"/>
        </w:rPr>
      </w:pPr>
      <w:r>
        <w:rPr>
          <w:rFonts w:ascii="Arial Black" w:hAnsi="Arial Black"/>
          <w:sz w:val="24"/>
          <w:szCs w:val="24"/>
        </w:rPr>
        <w:t>David Palfreyman, OBE FRSA MA MBA LLB, Fellow, New College, University of Oxford, and Director, Oxford Centre for Higher Education Policy Studies</w:t>
      </w:r>
    </w:p>
    <w:p w:rsidR="007B5A06" w:rsidRDefault="007B5A06">
      <w:pPr>
        <w:rPr>
          <w:rFonts w:ascii="Arial Black" w:hAnsi="Arial Black"/>
          <w:sz w:val="24"/>
          <w:szCs w:val="24"/>
        </w:rPr>
      </w:pPr>
    </w:p>
    <w:p w:rsidR="00350E9B" w:rsidRDefault="007B5A06" w:rsidP="007B5A06">
      <w:pPr>
        <w:pStyle w:val="ListParagraph"/>
        <w:numPr>
          <w:ilvl w:val="0"/>
          <w:numId w:val="1"/>
        </w:numPr>
        <w:rPr>
          <w:rFonts w:ascii="Arial Black" w:hAnsi="Arial Black"/>
          <w:sz w:val="24"/>
          <w:szCs w:val="24"/>
        </w:rPr>
      </w:pPr>
      <w:r>
        <w:rPr>
          <w:rFonts w:ascii="Arial Black" w:hAnsi="Arial Black"/>
          <w:sz w:val="24"/>
          <w:szCs w:val="24"/>
        </w:rPr>
        <w:t xml:space="preserve">This Paper explores what form the regulatory architecture for English HE might take </w:t>
      </w:r>
      <w:r w:rsidR="00350E9B">
        <w:rPr>
          <w:rFonts w:ascii="Arial Black" w:hAnsi="Arial Black"/>
          <w:sz w:val="24"/>
          <w:szCs w:val="24"/>
        </w:rPr>
        <w:t xml:space="preserve">as the TEF (Teaching Excellence Framework) is established and if the HE Bill </w:t>
      </w:r>
      <w:r w:rsidR="00AC71F1">
        <w:rPr>
          <w:rFonts w:ascii="Arial Black" w:hAnsi="Arial Black"/>
          <w:sz w:val="24"/>
          <w:szCs w:val="24"/>
        </w:rPr>
        <w:t xml:space="preserve">2016 </w:t>
      </w:r>
      <w:r w:rsidR="00350E9B">
        <w:rPr>
          <w:rFonts w:ascii="Arial Black" w:hAnsi="Arial Black"/>
          <w:sz w:val="24"/>
          <w:szCs w:val="24"/>
        </w:rPr>
        <w:t xml:space="preserve">is passed to create the </w:t>
      </w:r>
      <w:proofErr w:type="spellStart"/>
      <w:r w:rsidR="00350E9B">
        <w:rPr>
          <w:rFonts w:ascii="Arial Black" w:hAnsi="Arial Black"/>
          <w:sz w:val="24"/>
          <w:szCs w:val="24"/>
        </w:rPr>
        <w:t>OfS</w:t>
      </w:r>
      <w:proofErr w:type="spellEnd"/>
      <w:r w:rsidR="00350E9B">
        <w:rPr>
          <w:rFonts w:ascii="Arial Black" w:hAnsi="Arial Black"/>
          <w:sz w:val="24"/>
          <w:szCs w:val="24"/>
        </w:rPr>
        <w:t xml:space="preserve"> (Office for Students). </w:t>
      </w:r>
    </w:p>
    <w:p w:rsidR="00350E9B" w:rsidRDefault="00350E9B" w:rsidP="007B5A06">
      <w:pPr>
        <w:pStyle w:val="ListParagraph"/>
        <w:numPr>
          <w:ilvl w:val="0"/>
          <w:numId w:val="1"/>
        </w:numPr>
        <w:rPr>
          <w:rFonts w:ascii="Arial Black" w:hAnsi="Arial Black"/>
          <w:sz w:val="24"/>
          <w:szCs w:val="24"/>
        </w:rPr>
      </w:pPr>
      <w:r>
        <w:rPr>
          <w:rFonts w:ascii="Arial Black" w:hAnsi="Arial Black"/>
          <w:sz w:val="24"/>
          <w:szCs w:val="24"/>
        </w:rPr>
        <w:t xml:space="preserve">The TEF is discussed further in </w:t>
      </w:r>
      <w:proofErr w:type="spellStart"/>
      <w:r>
        <w:rPr>
          <w:rFonts w:ascii="Arial Black" w:hAnsi="Arial Black"/>
          <w:sz w:val="24"/>
          <w:szCs w:val="24"/>
        </w:rPr>
        <w:t>OxCHEPS</w:t>
      </w:r>
      <w:proofErr w:type="spellEnd"/>
      <w:r>
        <w:rPr>
          <w:rFonts w:ascii="Arial Black" w:hAnsi="Arial Black"/>
          <w:sz w:val="24"/>
          <w:szCs w:val="24"/>
        </w:rPr>
        <w:t xml:space="preserve"> Occasional Paper No. </w:t>
      </w:r>
      <w:r w:rsidR="004B739A">
        <w:rPr>
          <w:rFonts w:ascii="Arial Black" w:hAnsi="Arial Black"/>
          <w:sz w:val="24"/>
          <w:szCs w:val="24"/>
        </w:rPr>
        <w:t>60</w:t>
      </w:r>
      <w:r>
        <w:rPr>
          <w:rFonts w:ascii="Arial Black" w:hAnsi="Arial Black"/>
          <w:sz w:val="24"/>
          <w:szCs w:val="24"/>
        </w:rPr>
        <w:t xml:space="preserve"> (Palfreyman, ‘The TEF 2020?’)</w:t>
      </w:r>
      <w:r w:rsidR="003A6148">
        <w:rPr>
          <w:rFonts w:ascii="Arial Black" w:hAnsi="Arial Black"/>
          <w:sz w:val="24"/>
          <w:szCs w:val="24"/>
        </w:rPr>
        <w:t>.</w:t>
      </w:r>
    </w:p>
    <w:p w:rsidR="00AC71F1" w:rsidRDefault="00350E9B" w:rsidP="007B5A06">
      <w:pPr>
        <w:pStyle w:val="ListParagraph"/>
        <w:numPr>
          <w:ilvl w:val="0"/>
          <w:numId w:val="1"/>
        </w:numPr>
        <w:rPr>
          <w:rFonts w:ascii="Arial Black" w:hAnsi="Arial Black"/>
          <w:sz w:val="24"/>
          <w:szCs w:val="24"/>
        </w:rPr>
      </w:pPr>
      <w:r>
        <w:rPr>
          <w:rFonts w:ascii="Arial Black" w:hAnsi="Arial Black"/>
          <w:sz w:val="24"/>
          <w:szCs w:val="24"/>
        </w:rPr>
        <w:t>Here we build on that Paper and its endorsement of the HEFCE</w:t>
      </w:r>
      <w:r w:rsidR="004B739A">
        <w:rPr>
          <w:rFonts w:ascii="Arial Black" w:hAnsi="Arial Black"/>
          <w:sz w:val="24"/>
          <w:szCs w:val="24"/>
        </w:rPr>
        <w:t xml:space="preserve">’s new </w:t>
      </w:r>
      <w:r>
        <w:rPr>
          <w:rFonts w:ascii="Arial Black" w:hAnsi="Arial Black"/>
          <w:sz w:val="24"/>
          <w:szCs w:val="24"/>
        </w:rPr>
        <w:t xml:space="preserve">policy of requiring HEI governing bodies to ‘sign-off’ on teaching quality in the way </w:t>
      </w:r>
      <w:r w:rsidR="004B739A">
        <w:rPr>
          <w:rFonts w:ascii="Arial Black" w:hAnsi="Arial Black"/>
          <w:sz w:val="24"/>
          <w:szCs w:val="24"/>
        </w:rPr>
        <w:t xml:space="preserve">that </w:t>
      </w:r>
      <w:r>
        <w:rPr>
          <w:rFonts w:ascii="Arial Black" w:hAnsi="Arial Black"/>
          <w:sz w:val="24"/>
          <w:szCs w:val="24"/>
        </w:rPr>
        <w:t xml:space="preserve">they </w:t>
      </w:r>
      <w:r w:rsidR="004B739A">
        <w:rPr>
          <w:rFonts w:ascii="Arial Black" w:hAnsi="Arial Black"/>
          <w:sz w:val="24"/>
          <w:szCs w:val="24"/>
        </w:rPr>
        <w:t xml:space="preserve">also </w:t>
      </w:r>
      <w:r>
        <w:rPr>
          <w:rFonts w:ascii="Arial Black" w:hAnsi="Arial Black"/>
          <w:sz w:val="24"/>
          <w:szCs w:val="24"/>
        </w:rPr>
        <w:t>have to take responsibility for the institution’s annual accounts</w:t>
      </w:r>
      <w:r w:rsidR="004B739A">
        <w:rPr>
          <w:rFonts w:ascii="Arial Black" w:hAnsi="Arial Black"/>
          <w:sz w:val="24"/>
          <w:szCs w:val="24"/>
        </w:rPr>
        <w:t xml:space="preserve">. In  addition, here we build </w:t>
      </w:r>
      <w:r>
        <w:rPr>
          <w:rFonts w:ascii="Arial Black" w:hAnsi="Arial Black"/>
          <w:sz w:val="24"/>
          <w:szCs w:val="24"/>
        </w:rPr>
        <w:t xml:space="preserve">on </w:t>
      </w:r>
      <w:r w:rsidR="004B739A">
        <w:rPr>
          <w:rFonts w:ascii="Arial Black" w:hAnsi="Arial Black"/>
          <w:sz w:val="24"/>
          <w:szCs w:val="24"/>
        </w:rPr>
        <w:t xml:space="preserve">the Paper’s </w:t>
      </w:r>
      <w:r>
        <w:rPr>
          <w:rFonts w:ascii="Arial Black" w:hAnsi="Arial Black"/>
          <w:sz w:val="24"/>
          <w:szCs w:val="24"/>
        </w:rPr>
        <w:t xml:space="preserve">suggested development of a standard student-university contract-to-educate </w:t>
      </w:r>
      <w:r w:rsidR="004B739A">
        <w:rPr>
          <w:rFonts w:ascii="Arial Black" w:hAnsi="Arial Black"/>
          <w:sz w:val="24"/>
          <w:szCs w:val="24"/>
        </w:rPr>
        <w:t xml:space="preserve">incorporating a template of University representations concerning the quantum of teaching and about the format for assessment that are then </w:t>
      </w:r>
      <w:r>
        <w:rPr>
          <w:rFonts w:ascii="Arial Black" w:hAnsi="Arial Black"/>
          <w:sz w:val="24"/>
          <w:szCs w:val="24"/>
        </w:rPr>
        <w:t xml:space="preserve">to be </w:t>
      </w:r>
      <w:r w:rsidR="004B739A">
        <w:rPr>
          <w:rFonts w:ascii="Arial Black" w:hAnsi="Arial Black"/>
          <w:sz w:val="24"/>
          <w:szCs w:val="24"/>
        </w:rPr>
        <w:t xml:space="preserve">robustly </w:t>
      </w:r>
      <w:r>
        <w:rPr>
          <w:rFonts w:ascii="Arial Black" w:hAnsi="Arial Black"/>
          <w:sz w:val="24"/>
          <w:szCs w:val="24"/>
        </w:rPr>
        <w:t xml:space="preserve">enforced </w:t>
      </w:r>
      <w:r w:rsidR="004B739A">
        <w:rPr>
          <w:rFonts w:ascii="Arial Black" w:hAnsi="Arial Black"/>
          <w:sz w:val="24"/>
          <w:szCs w:val="24"/>
        </w:rPr>
        <w:t xml:space="preserve">as binding </w:t>
      </w:r>
      <w:r w:rsidR="004B739A">
        <w:rPr>
          <w:rFonts w:ascii="Arial Black" w:hAnsi="Arial Black"/>
          <w:sz w:val="24"/>
          <w:szCs w:val="24"/>
        </w:rPr>
        <w:lastRenderedPageBreak/>
        <w:t xml:space="preserve">terms </w:t>
      </w:r>
      <w:r>
        <w:rPr>
          <w:rFonts w:ascii="Arial Black" w:hAnsi="Arial Black"/>
          <w:sz w:val="24"/>
          <w:szCs w:val="24"/>
        </w:rPr>
        <w:t xml:space="preserve">in the student-consumer’s interest by the </w:t>
      </w:r>
      <w:proofErr w:type="spellStart"/>
      <w:r w:rsidR="004B739A">
        <w:rPr>
          <w:rFonts w:ascii="Arial Black" w:hAnsi="Arial Black"/>
          <w:sz w:val="24"/>
          <w:szCs w:val="24"/>
        </w:rPr>
        <w:t>OfS</w:t>
      </w:r>
      <w:proofErr w:type="spellEnd"/>
      <w:r w:rsidR="004B739A">
        <w:rPr>
          <w:rFonts w:ascii="Arial Black" w:hAnsi="Arial Black"/>
          <w:sz w:val="24"/>
          <w:szCs w:val="24"/>
        </w:rPr>
        <w:t xml:space="preserve">, the </w:t>
      </w:r>
      <w:r>
        <w:rPr>
          <w:rFonts w:ascii="Arial Black" w:hAnsi="Arial Black"/>
          <w:sz w:val="24"/>
          <w:szCs w:val="24"/>
        </w:rPr>
        <w:t>CMA</w:t>
      </w:r>
      <w:r w:rsidR="004B739A">
        <w:rPr>
          <w:rFonts w:ascii="Arial Black" w:hAnsi="Arial Black"/>
          <w:sz w:val="24"/>
          <w:szCs w:val="24"/>
        </w:rPr>
        <w:t>,</w:t>
      </w:r>
      <w:r>
        <w:rPr>
          <w:rFonts w:ascii="Arial Black" w:hAnsi="Arial Black"/>
          <w:sz w:val="24"/>
          <w:szCs w:val="24"/>
        </w:rPr>
        <w:t xml:space="preserve"> and Trading Standards</w:t>
      </w:r>
      <w:r w:rsidR="004B739A">
        <w:rPr>
          <w:rFonts w:ascii="Arial Black" w:hAnsi="Arial Black"/>
          <w:sz w:val="24"/>
          <w:szCs w:val="24"/>
        </w:rPr>
        <w:t>.</w:t>
      </w:r>
      <w:r>
        <w:rPr>
          <w:rFonts w:ascii="Arial Black" w:hAnsi="Arial Black"/>
          <w:sz w:val="24"/>
          <w:szCs w:val="24"/>
        </w:rPr>
        <w:t xml:space="preserve"> </w:t>
      </w:r>
      <w:r w:rsidR="003A6148">
        <w:rPr>
          <w:rFonts w:ascii="Arial Black" w:hAnsi="Arial Black"/>
          <w:sz w:val="24"/>
          <w:szCs w:val="24"/>
        </w:rPr>
        <w:t xml:space="preserve">Such an unashamedly consumerist approach can’t but be less costly than the reliance over recent decades on ‘the HE quality-policing industry’ that has generated a bewildering string of acronyms and left behind a cascade of failed agencies while the quantum and quality of undergraduate teaching has been steadily short-changed by universities. On the </w:t>
      </w:r>
      <w:proofErr w:type="spellStart"/>
      <w:r w:rsidR="003A6148">
        <w:rPr>
          <w:rFonts w:ascii="Arial Black" w:hAnsi="Arial Black"/>
          <w:sz w:val="24"/>
          <w:szCs w:val="24"/>
        </w:rPr>
        <w:t>student</w:t>
      </w:r>
      <w:proofErr w:type="gramStart"/>
      <w:r w:rsidR="003A6148">
        <w:rPr>
          <w:rFonts w:ascii="Arial Black" w:hAnsi="Arial Black"/>
          <w:sz w:val="24"/>
          <w:szCs w:val="24"/>
        </w:rPr>
        <w:t>:university</w:t>
      </w:r>
      <w:proofErr w:type="spellEnd"/>
      <w:proofErr w:type="gramEnd"/>
      <w:r w:rsidR="003A6148">
        <w:rPr>
          <w:rFonts w:ascii="Arial Black" w:hAnsi="Arial Black"/>
          <w:sz w:val="24"/>
          <w:szCs w:val="24"/>
        </w:rPr>
        <w:t xml:space="preserve"> contract-to-educate see Chapter 12, pp 328-447, of Farrington &amp; Palfreyman, ‘The Law of Higher Education’ (Oxford University Press, 2012).  </w:t>
      </w:r>
    </w:p>
    <w:p w:rsidR="00AC71F1" w:rsidRDefault="004B739A" w:rsidP="007B5A06">
      <w:pPr>
        <w:pStyle w:val="ListParagraph"/>
        <w:numPr>
          <w:ilvl w:val="0"/>
          <w:numId w:val="1"/>
        </w:numPr>
        <w:rPr>
          <w:rFonts w:ascii="Arial Black" w:hAnsi="Arial Black"/>
          <w:sz w:val="24"/>
          <w:szCs w:val="24"/>
        </w:rPr>
      </w:pPr>
      <w:r>
        <w:rPr>
          <w:rFonts w:ascii="Arial Black" w:hAnsi="Arial Black"/>
          <w:sz w:val="24"/>
          <w:szCs w:val="24"/>
        </w:rPr>
        <w:t xml:space="preserve">In this Paper </w:t>
      </w:r>
      <w:r w:rsidR="00AC71F1">
        <w:rPr>
          <w:rFonts w:ascii="Arial Black" w:hAnsi="Arial Black"/>
          <w:sz w:val="24"/>
          <w:szCs w:val="24"/>
        </w:rPr>
        <w:t xml:space="preserve">we urge the HE industry and its new regulatory regime to </w:t>
      </w:r>
      <w:r w:rsidR="00350E9B">
        <w:rPr>
          <w:rFonts w:ascii="Arial Black" w:hAnsi="Arial Black"/>
          <w:sz w:val="24"/>
          <w:szCs w:val="24"/>
        </w:rPr>
        <w:t>consider</w:t>
      </w:r>
      <w:r w:rsidR="001C157B">
        <w:rPr>
          <w:rFonts w:ascii="Arial Black" w:hAnsi="Arial Black"/>
          <w:sz w:val="24"/>
          <w:szCs w:val="24"/>
        </w:rPr>
        <w:t xml:space="preserve"> </w:t>
      </w:r>
      <w:r w:rsidR="00350E9B">
        <w:rPr>
          <w:rFonts w:ascii="Arial Black" w:hAnsi="Arial Black"/>
          <w:sz w:val="24"/>
          <w:szCs w:val="24"/>
        </w:rPr>
        <w:t xml:space="preserve">the applicability to HE of the evolving concept of EBR (Ethical Business Regulation) </w:t>
      </w:r>
      <w:r w:rsidR="001C157B">
        <w:rPr>
          <w:rFonts w:ascii="Arial Black" w:hAnsi="Arial Black"/>
          <w:sz w:val="24"/>
          <w:szCs w:val="24"/>
        </w:rPr>
        <w:t xml:space="preserve">– as discussed </w:t>
      </w:r>
      <w:r w:rsidR="003A6148">
        <w:rPr>
          <w:rFonts w:ascii="Arial Black" w:hAnsi="Arial Black"/>
          <w:sz w:val="24"/>
          <w:szCs w:val="24"/>
        </w:rPr>
        <w:t xml:space="preserve">by </w:t>
      </w:r>
      <w:r w:rsidR="001C157B">
        <w:rPr>
          <w:rFonts w:ascii="Arial Black" w:hAnsi="Arial Black"/>
          <w:sz w:val="24"/>
          <w:szCs w:val="24"/>
        </w:rPr>
        <w:t xml:space="preserve">Hodges </w:t>
      </w:r>
      <w:r w:rsidR="003A6148">
        <w:rPr>
          <w:rFonts w:ascii="Arial Black" w:hAnsi="Arial Black"/>
          <w:sz w:val="24"/>
          <w:szCs w:val="24"/>
        </w:rPr>
        <w:t xml:space="preserve">in ‘Law and Corporate Behaviour: Integrating Theories of Regulation, Enforcement, Compliance and Ethics’ (Hart Publishing, 2015). </w:t>
      </w:r>
      <w:r w:rsidR="00AC71F1">
        <w:rPr>
          <w:rFonts w:ascii="Arial Black" w:hAnsi="Arial Black"/>
          <w:sz w:val="24"/>
          <w:szCs w:val="24"/>
        </w:rPr>
        <w:t xml:space="preserve">Hodges </w:t>
      </w:r>
      <w:r w:rsidR="001C157B">
        <w:rPr>
          <w:rFonts w:ascii="Arial Black" w:hAnsi="Arial Black"/>
          <w:sz w:val="24"/>
          <w:szCs w:val="24"/>
        </w:rPr>
        <w:t xml:space="preserve">explains the </w:t>
      </w:r>
      <w:r w:rsidR="00C364BE">
        <w:rPr>
          <w:rFonts w:ascii="Arial Black" w:hAnsi="Arial Black"/>
          <w:sz w:val="24"/>
          <w:szCs w:val="24"/>
        </w:rPr>
        <w:t xml:space="preserve">EBR </w:t>
      </w:r>
      <w:r w:rsidR="001C157B">
        <w:rPr>
          <w:rFonts w:ascii="Arial Black" w:hAnsi="Arial Black"/>
          <w:sz w:val="24"/>
          <w:szCs w:val="24"/>
        </w:rPr>
        <w:t xml:space="preserve">idea and outlines current examples of and empirical evidence for </w:t>
      </w:r>
      <w:r w:rsidR="00AC71F1">
        <w:rPr>
          <w:rFonts w:ascii="Arial Black" w:hAnsi="Arial Black"/>
          <w:sz w:val="24"/>
          <w:szCs w:val="24"/>
        </w:rPr>
        <w:t xml:space="preserve">the </w:t>
      </w:r>
      <w:r w:rsidR="001C157B">
        <w:rPr>
          <w:rFonts w:ascii="Arial Black" w:hAnsi="Arial Black"/>
          <w:sz w:val="24"/>
          <w:szCs w:val="24"/>
        </w:rPr>
        <w:t xml:space="preserve">application </w:t>
      </w:r>
      <w:r w:rsidR="00AC71F1">
        <w:rPr>
          <w:rFonts w:ascii="Arial Black" w:hAnsi="Arial Black"/>
          <w:sz w:val="24"/>
          <w:szCs w:val="24"/>
        </w:rPr>
        <w:t xml:space="preserve">of EBR </w:t>
      </w:r>
      <w:r w:rsidR="001C157B">
        <w:rPr>
          <w:rFonts w:ascii="Arial Black" w:hAnsi="Arial Black"/>
          <w:sz w:val="24"/>
          <w:szCs w:val="24"/>
        </w:rPr>
        <w:t xml:space="preserve">across a range of economic activities. </w:t>
      </w:r>
    </w:p>
    <w:p w:rsidR="00C313BC" w:rsidRDefault="001C157B" w:rsidP="007B5A06">
      <w:pPr>
        <w:pStyle w:val="ListParagraph"/>
        <w:numPr>
          <w:ilvl w:val="0"/>
          <w:numId w:val="1"/>
        </w:numPr>
        <w:rPr>
          <w:rFonts w:ascii="Arial Black" w:hAnsi="Arial Black"/>
          <w:sz w:val="24"/>
          <w:szCs w:val="24"/>
        </w:rPr>
      </w:pPr>
      <w:r>
        <w:rPr>
          <w:rFonts w:ascii="Arial Black" w:hAnsi="Arial Black"/>
          <w:sz w:val="24"/>
          <w:szCs w:val="24"/>
        </w:rPr>
        <w:t xml:space="preserve">In short, EBR is based on an understanding of why people either observe or break rules, and on how the appropriate organisational culture can engender better performance and greater innovation to underpin business success as well as </w:t>
      </w:r>
      <w:r w:rsidR="001E7902">
        <w:rPr>
          <w:rFonts w:ascii="Arial Black" w:hAnsi="Arial Black"/>
          <w:sz w:val="24"/>
          <w:szCs w:val="24"/>
        </w:rPr>
        <w:t xml:space="preserve">fair </w:t>
      </w:r>
      <w:r>
        <w:rPr>
          <w:rFonts w:ascii="Arial Black" w:hAnsi="Arial Black"/>
          <w:sz w:val="24"/>
          <w:szCs w:val="24"/>
        </w:rPr>
        <w:t xml:space="preserve">customer-service </w:t>
      </w:r>
      <w:r w:rsidR="004B739A">
        <w:rPr>
          <w:rFonts w:ascii="Arial Black" w:hAnsi="Arial Black"/>
          <w:sz w:val="24"/>
          <w:szCs w:val="24"/>
        </w:rPr>
        <w:t xml:space="preserve">delivered </w:t>
      </w:r>
      <w:r>
        <w:rPr>
          <w:rFonts w:ascii="Arial Black" w:hAnsi="Arial Black"/>
          <w:sz w:val="24"/>
          <w:szCs w:val="24"/>
        </w:rPr>
        <w:t>in the context of an effective regulatory framework. The EBR model seeks to ensure that organisations and their employees do the right thing, and speak up in sharing relevant information in open relationships, so as constantly to learn and improve</w:t>
      </w:r>
      <w:r w:rsidR="00AC71F1">
        <w:rPr>
          <w:rFonts w:ascii="Arial Black" w:hAnsi="Arial Black"/>
          <w:sz w:val="24"/>
          <w:szCs w:val="24"/>
        </w:rPr>
        <w:t xml:space="preserve">. It </w:t>
      </w:r>
      <w:r w:rsidR="003A6148">
        <w:rPr>
          <w:rFonts w:ascii="Arial Black" w:hAnsi="Arial Black"/>
          <w:sz w:val="24"/>
          <w:szCs w:val="24"/>
        </w:rPr>
        <w:t xml:space="preserve">transcends both </w:t>
      </w:r>
      <w:r w:rsidR="004B739A">
        <w:rPr>
          <w:rFonts w:ascii="Arial Black" w:hAnsi="Arial Black"/>
          <w:sz w:val="24"/>
          <w:szCs w:val="24"/>
        </w:rPr>
        <w:t xml:space="preserve">top-down </w:t>
      </w:r>
      <w:r w:rsidR="00AC71F1">
        <w:rPr>
          <w:rFonts w:ascii="Arial Black" w:hAnsi="Arial Black"/>
          <w:sz w:val="24"/>
          <w:szCs w:val="24"/>
        </w:rPr>
        <w:t>external enforcement of regulatory compliance</w:t>
      </w:r>
      <w:r w:rsidR="003A6148">
        <w:rPr>
          <w:rFonts w:ascii="Arial Black" w:hAnsi="Arial Black"/>
          <w:sz w:val="24"/>
          <w:szCs w:val="24"/>
        </w:rPr>
        <w:t xml:space="preserve"> and also internal institutional compliance mechanisms</w:t>
      </w:r>
      <w:r w:rsidR="00AC71F1">
        <w:rPr>
          <w:rFonts w:ascii="Arial Black" w:hAnsi="Arial Black"/>
          <w:sz w:val="24"/>
          <w:szCs w:val="24"/>
        </w:rPr>
        <w:t xml:space="preserve">; it is about embedding within the entity a culture of trust and fair delivery, of reflection, </w:t>
      </w:r>
      <w:r w:rsidR="00C364BE">
        <w:rPr>
          <w:rFonts w:ascii="Arial Black" w:hAnsi="Arial Black"/>
          <w:sz w:val="24"/>
          <w:szCs w:val="24"/>
        </w:rPr>
        <w:t xml:space="preserve">and </w:t>
      </w:r>
      <w:r w:rsidR="00AC71F1">
        <w:rPr>
          <w:rFonts w:ascii="Arial Black" w:hAnsi="Arial Black"/>
          <w:sz w:val="24"/>
          <w:szCs w:val="24"/>
        </w:rPr>
        <w:t>of improvement</w:t>
      </w:r>
      <w:r w:rsidR="003A6148">
        <w:rPr>
          <w:rFonts w:ascii="Arial Black" w:hAnsi="Arial Black"/>
          <w:sz w:val="24"/>
          <w:szCs w:val="24"/>
        </w:rPr>
        <w:t>, a</w:t>
      </w:r>
      <w:r w:rsidR="00C364BE">
        <w:rPr>
          <w:rFonts w:ascii="Arial Black" w:hAnsi="Arial Black"/>
          <w:sz w:val="24"/>
          <w:szCs w:val="24"/>
        </w:rPr>
        <w:t xml:space="preserve">s well as </w:t>
      </w:r>
      <w:r w:rsidR="0055162E">
        <w:rPr>
          <w:rFonts w:ascii="Arial Black" w:hAnsi="Arial Black"/>
          <w:sz w:val="24"/>
          <w:szCs w:val="24"/>
        </w:rPr>
        <w:t>an open relationship among all involved</w:t>
      </w:r>
      <w:r w:rsidR="00AC71F1">
        <w:rPr>
          <w:rFonts w:ascii="Arial Black" w:hAnsi="Arial Black"/>
          <w:sz w:val="24"/>
          <w:szCs w:val="24"/>
        </w:rPr>
        <w:t xml:space="preserve"> – albeit with </w:t>
      </w:r>
      <w:proofErr w:type="spellStart"/>
      <w:r w:rsidR="00AC71F1">
        <w:rPr>
          <w:rFonts w:ascii="Arial Black" w:hAnsi="Arial Black"/>
          <w:sz w:val="24"/>
          <w:szCs w:val="24"/>
        </w:rPr>
        <w:t>there</w:t>
      </w:r>
      <w:proofErr w:type="spellEnd"/>
      <w:r w:rsidR="00AC71F1">
        <w:rPr>
          <w:rFonts w:ascii="Arial Black" w:hAnsi="Arial Black"/>
          <w:sz w:val="24"/>
          <w:szCs w:val="24"/>
        </w:rPr>
        <w:t xml:space="preserve"> remaining, of course, the ultimate long-stop of enforcement via legal sanctions as part of a </w:t>
      </w:r>
      <w:r w:rsidR="001E7902">
        <w:rPr>
          <w:rFonts w:ascii="Arial Black" w:hAnsi="Arial Black"/>
          <w:sz w:val="24"/>
          <w:szCs w:val="24"/>
        </w:rPr>
        <w:t xml:space="preserve">formal </w:t>
      </w:r>
      <w:r w:rsidR="00AC71F1">
        <w:rPr>
          <w:rFonts w:ascii="Arial Black" w:hAnsi="Arial Black"/>
          <w:sz w:val="24"/>
          <w:szCs w:val="24"/>
        </w:rPr>
        <w:t>regulatory regime</w:t>
      </w:r>
      <w:r w:rsidR="0055162E">
        <w:rPr>
          <w:rFonts w:ascii="Arial Black" w:hAnsi="Arial Black"/>
          <w:sz w:val="24"/>
          <w:szCs w:val="24"/>
        </w:rPr>
        <w:t xml:space="preserve"> and in accordance with general consumer protection law</w:t>
      </w:r>
      <w:r w:rsidR="00AC71F1">
        <w:rPr>
          <w:rFonts w:ascii="Arial Black" w:hAnsi="Arial Black"/>
          <w:sz w:val="24"/>
          <w:szCs w:val="24"/>
        </w:rPr>
        <w:t xml:space="preserve">. Hodges </w:t>
      </w:r>
      <w:r w:rsidR="00C313BC">
        <w:rPr>
          <w:rFonts w:ascii="Arial Black" w:hAnsi="Arial Black"/>
          <w:sz w:val="24"/>
          <w:szCs w:val="24"/>
        </w:rPr>
        <w:lastRenderedPageBreak/>
        <w:t xml:space="preserve">sets out the potential of EBR in the context of: the Government’s ‘Better Regulation’ policy drive; the expanding ‘Primary Authority Scheme’ overseen by the BEIS; and case-studies from the </w:t>
      </w:r>
      <w:r w:rsidR="0055162E">
        <w:rPr>
          <w:rFonts w:ascii="Arial Black" w:hAnsi="Arial Black"/>
          <w:sz w:val="24"/>
          <w:szCs w:val="24"/>
        </w:rPr>
        <w:t xml:space="preserve">successful </w:t>
      </w:r>
      <w:r w:rsidR="00C313BC">
        <w:rPr>
          <w:rFonts w:ascii="Arial Black" w:hAnsi="Arial Black"/>
          <w:sz w:val="24"/>
          <w:szCs w:val="24"/>
        </w:rPr>
        <w:t xml:space="preserve">regulatory experience of, inter alia, the Civil Aviation Authority, the Food Standards Agency, </w:t>
      </w:r>
      <w:r w:rsidR="001E7902">
        <w:rPr>
          <w:rFonts w:ascii="Arial Black" w:hAnsi="Arial Black"/>
          <w:sz w:val="24"/>
          <w:szCs w:val="24"/>
        </w:rPr>
        <w:t xml:space="preserve">various </w:t>
      </w:r>
      <w:r w:rsidR="00C313BC">
        <w:rPr>
          <w:rFonts w:ascii="Arial Black" w:hAnsi="Arial Black"/>
          <w:sz w:val="24"/>
          <w:szCs w:val="24"/>
        </w:rPr>
        <w:t xml:space="preserve">consumer </w:t>
      </w:r>
      <w:proofErr w:type="spellStart"/>
      <w:r w:rsidR="00C313BC">
        <w:rPr>
          <w:rFonts w:ascii="Arial Black" w:hAnsi="Arial Black"/>
          <w:sz w:val="24"/>
          <w:szCs w:val="24"/>
        </w:rPr>
        <w:t>ombuds</w:t>
      </w:r>
      <w:proofErr w:type="spellEnd"/>
      <w:r w:rsidR="00C313BC">
        <w:rPr>
          <w:rFonts w:ascii="Arial Black" w:hAnsi="Arial Black"/>
          <w:sz w:val="24"/>
          <w:szCs w:val="24"/>
        </w:rPr>
        <w:t xml:space="preserve">, and specific companies. </w:t>
      </w:r>
    </w:p>
    <w:p w:rsidR="00885029" w:rsidRDefault="00885029" w:rsidP="007B5A06">
      <w:pPr>
        <w:pStyle w:val="ListParagraph"/>
        <w:numPr>
          <w:ilvl w:val="0"/>
          <w:numId w:val="1"/>
        </w:numPr>
        <w:rPr>
          <w:rFonts w:ascii="Arial Black" w:hAnsi="Arial Black"/>
          <w:sz w:val="24"/>
          <w:szCs w:val="24"/>
        </w:rPr>
      </w:pPr>
      <w:r>
        <w:rPr>
          <w:rFonts w:ascii="Arial Black" w:hAnsi="Arial Black"/>
          <w:sz w:val="24"/>
          <w:szCs w:val="24"/>
        </w:rPr>
        <w:t xml:space="preserve">The detailed academic basis of EBR in terms of behavioural psychology and responsive regulatory practice is </w:t>
      </w:r>
      <w:r w:rsidR="0055162E">
        <w:rPr>
          <w:rFonts w:ascii="Arial Black" w:hAnsi="Arial Black"/>
          <w:sz w:val="24"/>
          <w:szCs w:val="24"/>
        </w:rPr>
        <w:t xml:space="preserve">summarised </w:t>
      </w:r>
      <w:r>
        <w:rPr>
          <w:rFonts w:ascii="Arial Black" w:hAnsi="Arial Black"/>
          <w:sz w:val="24"/>
          <w:szCs w:val="24"/>
        </w:rPr>
        <w:t xml:space="preserve">in </w:t>
      </w:r>
      <w:r w:rsidR="0055162E">
        <w:rPr>
          <w:rFonts w:ascii="Arial Black" w:hAnsi="Arial Black"/>
          <w:sz w:val="24"/>
          <w:szCs w:val="24"/>
        </w:rPr>
        <w:t xml:space="preserve">a </w:t>
      </w:r>
      <w:r>
        <w:rPr>
          <w:rFonts w:ascii="Arial Black" w:hAnsi="Arial Black"/>
          <w:sz w:val="24"/>
          <w:szCs w:val="24"/>
        </w:rPr>
        <w:t>Paper by Hodges</w:t>
      </w:r>
      <w:r w:rsidR="0055162E">
        <w:rPr>
          <w:rFonts w:ascii="Arial Black" w:hAnsi="Arial Black"/>
          <w:sz w:val="24"/>
          <w:szCs w:val="24"/>
        </w:rPr>
        <w:t xml:space="preserve"> published by BEIS</w:t>
      </w:r>
      <w:r>
        <w:rPr>
          <w:rFonts w:ascii="Arial Black" w:hAnsi="Arial Black"/>
          <w:sz w:val="24"/>
          <w:szCs w:val="24"/>
        </w:rPr>
        <w:t xml:space="preserve"> </w:t>
      </w:r>
      <w:r w:rsidR="0055162E">
        <w:rPr>
          <w:rFonts w:ascii="Arial Black" w:hAnsi="Arial Black"/>
          <w:sz w:val="24"/>
          <w:szCs w:val="24"/>
        </w:rPr>
        <w:t>–</w:t>
      </w:r>
      <w:r>
        <w:rPr>
          <w:rFonts w:ascii="Arial Black" w:hAnsi="Arial Black"/>
          <w:sz w:val="24"/>
          <w:szCs w:val="24"/>
        </w:rPr>
        <w:t xml:space="preserve"> </w:t>
      </w:r>
      <w:hyperlink r:id="rId6" w:history="1">
        <w:r w:rsidR="0055162E" w:rsidRPr="00E60315">
          <w:rPr>
            <w:rStyle w:val="Hyperlink"/>
            <w:rFonts w:ascii="Arial Black" w:hAnsi="Arial Black"/>
            <w:sz w:val="24"/>
            <w:szCs w:val="24"/>
          </w:rPr>
          <w:t>https://www.gov.uk/government/publications/ethical-business-regulation</w:t>
        </w:r>
      </w:hyperlink>
      <w:r w:rsidR="0055162E">
        <w:rPr>
          <w:rFonts w:ascii="Arial Black" w:hAnsi="Arial Black"/>
          <w:sz w:val="24"/>
          <w:szCs w:val="24"/>
        </w:rPr>
        <w:t xml:space="preserve"> . EBR is based on </w:t>
      </w:r>
      <w:r>
        <w:rPr>
          <w:rFonts w:ascii="Arial Black" w:hAnsi="Arial Black"/>
          <w:sz w:val="24"/>
          <w:szCs w:val="24"/>
        </w:rPr>
        <w:t xml:space="preserve">the concepts of ‘a learning culture’, ‘a collaborative culture’, ‘fair and proportionate responses’, ‘supportive and responsive regulation’, and the practical actions needed both by the business entities </w:t>
      </w:r>
      <w:r w:rsidR="001E7902">
        <w:rPr>
          <w:rFonts w:ascii="Arial Black" w:hAnsi="Arial Black"/>
          <w:sz w:val="24"/>
          <w:szCs w:val="24"/>
        </w:rPr>
        <w:t xml:space="preserve">themselves </w:t>
      </w:r>
      <w:r>
        <w:rPr>
          <w:rFonts w:ascii="Arial Black" w:hAnsi="Arial Black"/>
          <w:sz w:val="24"/>
          <w:szCs w:val="24"/>
        </w:rPr>
        <w:t xml:space="preserve">and also by their regulatory/enforcement bodies – and indeed by Government </w:t>
      </w:r>
      <w:r w:rsidR="0055162E">
        <w:rPr>
          <w:rFonts w:ascii="Arial Black" w:hAnsi="Arial Black"/>
          <w:sz w:val="24"/>
          <w:szCs w:val="24"/>
        </w:rPr>
        <w:t xml:space="preserve">itself when </w:t>
      </w:r>
      <w:r w:rsidR="001E7902">
        <w:rPr>
          <w:rFonts w:ascii="Arial Black" w:hAnsi="Arial Black"/>
          <w:sz w:val="24"/>
          <w:szCs w:val="24"/>
        </w:rPr>
        <w:t>e</w:t>
      </w:r>
      <w:r>
        <w:rPr>
          <w:rFonts w:ascii="Arial Black" w:hAnsi="Arial Black"/>
          <w:sz w:val="24"/>
          <w:szCs w:val="24"/>
        </w:rPr>
        <w:t xml:space="preserve">stablishing regulatory frameworks such as that currently proposed in the HE Bill 2016 </w:t>
      </w:r>
      <w:r w:rsidR="001E7902">
        <w:rPr>
          <w:rFonts w:ascii="Arial Black" w:hAnsi="Arial Black"/>
          <w:sz w:val="24"/>
          <w:szCs w:val="24"/>
        </w:rPr>
        <w:t xml:space="preserve">for English </w:t>
      </w:r>
      <w:r>
        <w:rPr>
          <w:rFonts w:ascii="Arial Black" w:hAnsi="Arial Black"/>
          <w:sz w:val="24"/>
          <w:szCs w:val="24"/>
        </w:rPr>
        <w:t xml:space="preserve">universities and </w:t>
      </w:r>
      <w:r w:rsidR="004B739A">
        <w:rPr>
          <w:rFonts w:ascii="Arial Black" w:hAnsi="Arial Black"/>
          <w:sz w:val="24"/>
          <w:szCs w:val="24"/>
        </w:rPr>
        <w:t xml:space="preserve">aiming at </w:t>
      </w:r>
      <w:r>
        <w:rPr>
          <w:rFonts w:ascii="Arial Black" w:hAnsi="Arial Black"/>
          <w:sz w:val="24"/>
          <w:szCs w:val="24"/>
        </w:rPr>
        <w:t xml:space="preserve">greater consumer protection of the fee-paying </w:t>
      </w:r>
      <w:r w:rsidR="001E7902">
        <w:rPr>
          <w:rFonts w:ascii="Arial Black" w:hAnsi="Arial Black"/>
          <w:sz w:val="24"/>
          <w:szCs w:val="24"/>
        </w:rPr>
        <w:t xml:space="preserve">undergraduate </w:t>
      </w:r>
      <w:r>
        <w:rPr>
          <w:rFonts w:ascii="Arial Black" w:hAnsi="Arial Black"/>
          <w:sz w:val="24"/>
          <w:szCs w:val="24"/>
        </w:rPr>
        <w:t xml:space="preserve">student now incurring long-term loan debts of £40-50,000. </w:t>
      </w:r>
    </w:p>
    <w:p w:rsidR="00885029" w:rsidRDefault="00885029" w:rsidP="007B5A06">
      <w:pPr>
        <w:pStyle w:val="ListParagraph"/>
        <w:numPr>
          <w:ilvl w:val="0"/>
          <w:numId w:val="1"/>
        </w:numPr>
        <w:rPr>
          <w:rFonts w:ascii="Arial Black" w:hAnsi="Arial Black"/>
          <w:sz w:val="24"/>
          <w:szCs w:val="24"/>
        </w:rPr>
      </w:pPr>
      <w:r>
        <w:rPr>
          <w:rFonts w:ascii="Arial Black" w:hAnsi="Arial Black"/>
          <w:sz w:val="24"/>
          <w:szCs w:val="24"/>
        </w:rPr>
        <w:t xml:space="preserve">The EBR approach, we suggest, is entirely in keeping with </w:t>
      </w:r>
      <w:r w:rsidR="000F5180">
        <w:rPr>
          <w:rFonts w:ascii="Arial Black" w:hAnsi="Arial Black"/>
          <w:sz w:val="24"/>
          <w:szCs w:val="24"/>
        </w:rPr>
        <w:t xml:space="preserve"> wider relevant </w:t>
      </w:r>
      <w:r w:rsidR="00AE0397">
        <w:rPr>
          <w:rFonts w:ascii="Arial Black" w:hAnsi="Arial Black"/>
          <w:sz w:val="24"/>
          <w:szCs w:val="24"/>
        </w:rPr>
        <w:t xml:space="preserve">interesting </w:t>
      </w:r>
      <w:r w:rsidR="000F5180">
        <w:rPr>
          <w:rFonts w:ascii="Arial Black" w:hAnsi="Arial Black"/>
          <w:sz w:val="24"/>
          <w:szCs w:val="24"/>
        </w:rPr>
        <w:t xml:space="preserve">initiatives </w:t>
      </w:r>
      <w:r w:rsidR="0055162E">
        <w:rPr>
          <w:rFonts w:ascii="Arial Black" w:hAnsi="Arial Black"/>
          <w:sz w:val="24"/>
          <w:szCs w:val="24"/>
        </w:rPr>
        <w:t xml:space="preserve">that place great emphasis on the culture of the service provider, </w:t>
      </w:r>
      <w:r w:rsidR="000F5180">
        <w:rPr>
          <w:rFonts w:ascii="Arial Black" w:hAnsi="Arial Black"/>
          <w:sz w:val="24"/>
          <w:szCs w:val="24"/>
        </w:rPr>
        <w:t xml:space="preserve">such as UNCTAD’s 2016 ‘Manual on Consumer Protection’ </w:t>
      </w:r>
      <w:r w:rsidR="0055162E">
        <w:rPr>
          <w:rFonts w:ascii="Arial Black" w:hAnsi="Arial Black"/>
          <w:sz w:val="24"/>
          <w:szCs w:val="24"/>
        </w:rPr>
        <w:t xml:space="preserve">(United Nations Conference on Trade and Development at </w:t>
      </w:r>
      <w:hyperlink r:id="rId7" w:history="1">
        <w:r w:rsidR="0055162E" w:rsidRPr="00E60315">
          <w:rPr>
            <w:rStyle w:val="Hyperlink"/>
            <w:rFonts w:ascii="Arial Black" w:hAnsi="Arial Black"/>
            <w:sz w:val="24"/>
            <w:szCs w:val="24"/>
          </w:rPr>
          <w:t>http://unctad.org/en/PublicationsLibrary/webditcclp2016d1.pdf</w:t>
        </w:r>
      </w:hyperlink>
      <w:r w:rsidR="0055162E">
        <w:rPr>
          <w:rFonts w:ascii="Arial Black" w:hAnsi="Arial Black"/>
          <w:sz w:val="24"/>
          <w:szCs w:val="24"/>
        </w:rPr>
        <w:t xml:space="preserve"> )</w:t>
      </w:r>
      <w:r w:rsidR="000F5180">
        <w:rPr>
          <w:rFonts w:ascii="Arial Black" w:hAnsi="Arial Black"/>
          <w:sz w:val="24"/>
          <w:szCs w:val="24"/>
        </w:rPr>
        <w:t xml:space="preserve"> and the FRC’s 2016 ‘Corporate Culture and the Role of Boards’</w:t>
      </w:r>
      <w:r>
        <w:rPr>
          <w:rFonts w:ascii="Arial Black" w:hAnsi="Arial Black"/>
          <w:sz w:val="24"/>
          <w:szCs w:val="24"/>
        </w:rPr>
        <w:t xml:space="preserve"> </w:t>
      </w:r>
      <w:r w:rsidR="0055162E">
        <w:rPr>
          <w:rFonts w:ascii="Arial Black" w:hAnsi="Arial Black"/>
          <w:sz w:val="24"/>
          <w:szCs w:val="24"/>
        </w:rPr>
        <w:t xml:space="preserve">(Financial Reporting Council at </w:t>
      </w:r>
      <w:hyperlink r:id="rId8" w:history="1">
        <w:r w:rsidR="0055162E" w:rsidRPr="00E60315">
          <w:rPr>
            <w:rStyle w:val="Hyperlink"/>
            <w:rFonts w:ascii="Arial Black" w:hAnsi="Arial Black"/>
            <w:sz w:val="24"/>
            <w:szCs w:val="24"/>
          </w:rPr>
          <w:t>https://www.frc.org.uk/Our-Work/Publications/Corporate-Governance/Corporate-Culture-and-the-Role-of Boards-Report-o.pdf</w:t>
        </w:r>
      </w:hyperlink>
      <w:r w:rsidR="0055162E">
        <w:rPr>
          <w:rFonts w:ascii="Arial Black" w:hAnsi="Arial Black"/>
          <w:sz w:val="24"/>
          <w:szCs w:val="24"/>
        </w:rPr>
        <w:t xml:space="preserve"> ). </w:t>
      </w:r>
      <w:r w:rsidR="000F5180">
        <w:rPr>
          <w:rFonts w:ascii="Arial Black" w:hAnsi="Arial Black"/>
          <w:sz w:val="24"/>
          <w:szCs w:val="24"/>
        </w:rPr>
        <w:t xml:space="preserve"> </w:t>
      </w:r>
      <w:r>
        <w:rPr>
          <w:rFonts w:ascii="Arial Black" w:hAnsi="Arial Black"/>
          <w:sz w:val="24"/>
          <w:szCs w:val="24"/>
        </w:rPr>
        <w:t xml:space="preserve">  </w:t>
      </w:r>
    </w:p>
    <w:p w:rsidR="001E7902" w:rsidRDefault="00C313BC" w:rsidP="007B5A06">
      <w:pPr>
        <w:pStyle w:val="ListParagraph"/>
        <w:numPr>
          <w:ilvl w:val="0"/>
          <w:numId w:val="1"/>
        </w:numPr>
        <w:rPr>
          <w:rFonts w:ascii="Arial Black" w:hAnsi="Arial Black"/>
          <w:sz w:val="24"/>
          <w:szCs w:val="24"/>
        </w:rPr>
      </w:pPr>
      <w:r>
        <w:rPr>
          <w:rFonts w:ascii="Arial Black" w:hAnsi="Arial Black"/>
          <w:sz w:val="24"/>
          <w:szCs w:val="24"/>
        </w:rPr>
        <w:t>We propose that the EBR concept, based on the regulatory experience of other industries and areas of economic activity (both private-sector and public-sector)</w:t>
      </w:r>
      <w:r w:rsidR="000F5180">
        <w:rPr>
          <w:rFonts w:ascii="Arial Black" w:hAnsi="Arial Black"/>
          <w:sz w:val="24"/>
          <w:szCs w:val="24"/>
        </w:rPr>
        <w:t xml:space="preserve">, </w:t>
      </w:r>
      <w:r>
        <w:rPr>
          <w:rFonts w:ascii="Arial Black" w:hAnsi="Arial Black"/>
          <w:sz w:val="24"/>
          <w:szCs w:val="24"/>
        </w:rPr>
        <w:t xml:space="preserve">should be explored for possible </w:t>
      </w:r>
      <w:r w:rsidR="000F5180">
        <w:rPr>
          <w:rFonts w:ascii="Arial Black" w:hAnsi="Arial Black"/>
          <w:sz w:val="24"/>
          <w:szCs w:val="24"/>
        </w:rPr>
        <w:t>sector-</w:t>
      </w:r>
      <w:r>
        <w:rPr>
          <w:rFonts w:ascii="Arial Black" w:hAnsi="Arial Black"/>
          <w:sz w:val="24"/>
          <w:szCs w:val="24"/>
        </w:rPr>
        <w:t xml:space="preserve">wide application to HE </w:t>
      </w:r>
      <w:r w:rsidR="0055162E">
        <w:rPr>
          <w:rFonts w:ascii="Arial Black" w:hAnsi="Arial Black"/>
          <w:sz w:val="24"/>
          <w:szCs w:val="24"/>
        </w:rPr>
        <w:t xml:space="preserve">– preferably </w:t>
      </w:r>
      <w:r>
        <w:rPr>
          <w:rFonts w:ascii="Arial Black" w:hAnsi="Arial Black"/>
          <w:sz w:val="24"/>
          <w:szCs w:val="24"/>
        </w:rPr>
        <w:t xml:space="preserve">via a </w:t>
      </w:r>
      <w:r>
        <w:rPr>
          <w:rFonts w:ascii="Arial Black" w:hAnsi="Arial Black"/>
          <w:sz w:val="24"/>
          <w:szCs w:val="24"/>
        </w:rPr>
        <w:lastRenderedPageBreak/>
        <w:t xml:space="preserve">couple of </w:t>
      </w:r>
      <w:r w:rsidRPr="00AE0397">
        <w:rPr>
          <w:rFonts w:ascii="Arial Black" w:hAnsi="Arial Black"/>
          <w:i/>
          <w:sz w:val="24"/>
          <w:szCs w:val="24"/>
        </w:rPr>
        <w:t>pilot</w:t>
      </w:r>
      <w:r>
        <w:rPr>
          <w:rFonts w:ascii="Arial Black" w:hAnsi="Arial Black"/>
          <w:sz w:val="24"/>
          <w:szCs w:val="24"/>
        </w:rPr>
        <w:t xml:space="preserve"> </w:t>
      </w:r>
      <w:r w:rsidRPr="00AE0397">
        <w:rPr>
          <w:rFonts w:ascii="Arial Black" w:hAnsi="Arial Black"/>
          <w:i/>
          <w:sz w:val="24"/>
          <w:szCs w:val="24"/>
        </w:rPr>
        <w:t>studies</w:t>
      </w:r>
      <w:r>
        <w:rPr>
          <w:rFonts w:ascii="Arial Black" w:hAnsi="Arial Black"/>
          <w:sz w:val="24"/>
          <w:szCs w:val="24"/>
        </w:rPr>
        <w:t xml:space="preserve"> </w:t>
      </w:r>
      <w:r w:rsidRPr="00AE0397">
        <w:rPr>
          <w:rFonts w:ascii="Arial Black" w:hAnsi="Arial Black"/>
          <w:b/>
          <w:i/>
          <w:sz w:val="24"/>
          <w:szCs w:val="24"/>
        </w:rPr>
        <w:t>in</w:t>
      </w:r>
      <w:r>
        <w:rPr>
          <w:rFonts w:ascii="Arial Black" w:hAnsi="Arial Black"/>
          <w:sz w:val="24"/>
          <w:szCs w:val="24"/>
        </w:rPr>
        <w:t xml:space="preserve"> </w:t>
      </w:r>
      <w:r w:rsidRPr="00AE0397">
        <w:rPr>
          <w:rFonts w:ascii="Arial Black" w:hAnsi="Arial Black"/>
          <w:i/>
          <w:sz w:val="24"/>
          <w:szCs w:val="24"/>
        </w:rPr>
        <w:t>volunteer</w:t>
      </w:r>
      <w:r>
        <w:rPr>
          <w:rFonts w:ascii="Arial Black" w:hAnsi="Arial Black"/>
          <w:sz w:val="24"/>
          <w:szCs w:val="24"/>
        </w:rPr>
        <w:t xml:space="preserve"> </w:t>
      </w:r>
      <w:r w:rsidRPr="00AE0397">
        <w:rPr>
          <w:rFonts w:ascii="Arial Black" w:hAnsi="Arial Black"/>
          <w:i/>
          <w:sz w:val="24"/>
          <w:szCs w:val="24"/>
        </w:rPr>
        <w:t>universities</w:t>
      </w:r>
      <w:r>
        <w:rPr>
          <w:rFonts w:ascii="Arial Black" w:hAnsi="Arial Black"/>
          <w:sz w:val="24"/>
          <w:szCs w:val="24"/>
        </w:rPr>
        <w:t xml:space="preserve"> as initiated by HEFCE and then taken over by the fledgling </w:t>
      </w:r>
      <w:proofErr w:type="spellStart"/>
      <w:r>
        <w:rPr>
          <w:rFonts w:ascii="Arial Black" w:hAnsi="Arial Black"/>
          <w:sz w:val="24"/>
          <w:szCs w:val="24"/>
        </w:rPr>
        <w:t>OfS</w:t>
      </w:r>
      <w:proofErr w:type="spellEnd"/>
      <w:r>
        <w:rPr>
          <w:rFonts w:ascii="Arial Black" w:hAnsi="Arial Black"/>
          <w:sz w:val="24"/>
          <w:szCs w:val="24"/>
        </w:rPr>
        <w:t xml:space="preserve"> (if duly created). </w:t>
      </w:r>
      <w:r w:rsidR="000F5180">
        <w:rPr>
          <w:rFonts w:ascii="Arial Black" w:hAnsi="Arial Black"/>
          <w:sz w:val="24"/>
          <w:szCs w:val="24"/>
        </w:rPr>
        <w:t xml:space="preserve">Any such pilots would, presumably, be undertaken in conjunction with the CUC </w:t>
      </w:r>
      <w:r w:rsidR="0055162E">
        <w:rPr>
          <w:rFonts w:ascii="Arial Black" w:hAnsi="Arial Black"/>
          <w:sz w:val="24"/>
          <w:szCs w:val="24"/>
        </w:rPr>
        <w:t xml:space="preserve">(Committee of University Chairs) </w:t>
      </w:r>
      <w:r w:rsidR="001E7902">
        <w:rPr>
          <w:rFonts w:ascii="Arial Black" w:hAnsi="Arial Black"/>
          <w:sz w:val="24"/>
          <w:szCs w:val="24"/>
        </w:rPr>
        <w:t>and the UUK</w:t>
      </w:r>
      <w:r w:rsidR="0055162E">
        <w:rPr>
          <w:rFonts w:ascii="Arial Black" w:hAnsi="Arial Black"/>
          <w:sz w:val="24"/>
          <w:szCs w:val="24"/>
        </w:rPr>
        <w:t xml:space="preserve"> (Universities UK as ‘the trade body’ for the traditional, incumbent HE industry)</w:t>
      </w:r>
      <w:r w:rsidR="009C722D">
        <w:rPr>
          <w:rFonts w:ascii="Arial Black" w:hAnsi="Arial Black"/>
          <w:sz w:val="24"/>
          <w:szCs w:val="24"/>
        </w:rPr>
        <w:t>;</w:t>
      </w:r>
      <w:r w:rsidR="001E7902">
        <w:rPr>
          <w:rFonts w:ascii="Arial Black" w:hAnsi="Arial Black"/>
          <w:sz w:val="24"/>
          <w:szCs w:val="24"/>
        </w:rPr>
        <w:t xml:space="preserve"> </w:t>
      </w:r>
      <w:r w:rsidR="000F5180">
        <w:rPr>
          <w:rFonts w:ascii="Arial Black" w:hAnsi="Arial Black"/>
          <w:sz w:val="24"/>
          <w:szCs w:val="24"/>
        </w:rPr>
        <w:t>and would take into account such UNCTAD and FRC material as cited in para 7 above – as well as the application of the Nolan principles</w:t>
      </w:r>
      <w:r>
        <w:rPr>
          <w:rFonts w:ascii="Arial Black" w:hAnsi="Arial Black"/>
          <w:sz w:val="24"/>
          <w:szCs w:val="24"/>
        </w:rPr>
        <w:t xml:space="preserve"> </w:t>
      </w:r>
      <w:r w:rsidR="000F5180">
        <w:rPr>
          <w:rFonts w:ascii="Arial Black" w:hAnsi="Arial Black"/>
          <w:sz w:val="24"/>
          <w:szCs w:val="24"/>
        </w:rPr>
        <w:t>to the role of regulators (forthcoming</w:t>
      </w:r>
      <w:r w:rsidR="00AE0397">
        <w:rPr>
          <w:rFonts w:ascii="Arial Black" w:hAnsi="Arial Black"/>
          <w:sz w:val="24"/>
          <w:szCs w:val="24"/>
        </w:rPr>
        <w:t xml:space="preserve"> -</w:t>
      </w:r>
      <w:r w:rsidR="000F5180">
        <w:rPr>
          <w:rFonts w:ascii="Arial Black" w:hAnsi="Arial Black"/>
          <w:sz w:val="24"/>
          <w:szCs w:val="24"/>
        </w:rPr>
        <w:t xml:space="preserve"> September 2016</w:t>
      </w:r>
      <w:r w:rsidR="00AE0397">
        <w:rPr>
          <w:rFonts w:ascii="Arial Black" w:hAnsi="Arial Black"/>
          <w:sz w:val="24"/>
          <w:szCs w:val="24"/>
        </w:rPr>
        <w:t xml:space="preserve"> - a</w:t>
      </w:r>
      <w:r w:rsidR="000F5180">
        <w:rPr>
          <w:rFonts w:ascii="Arial Black" w:hAnsi="Arial Black"/>
          <w:sz w:val="24"/>
          <w:szCs w:val="24"/>
        </w:rPr>
        <w:t xml:space="preserve"> Report from the Committee on Standards in Public Life</w:t>
      </w:r>
      <w:r w:rsidR="009C722D">
        <w:rPr>
          <w:rFonts w:ascii="Arial Black" w:hAnsi="Arial Black"/>
          <w:sz w:val="24"/>
          <w:szCs w:val="24"/>
        </w:rPr>
        <w:t>).</w:t>
      </w:r>
    </w:p>
    <w:p w:rsidR="007B5A06" w:rsidRPr="007B5A06" w:rsidRDefault="001E7902" w:rsidP="007B5A06">
      <w:pPr>
        <w:pStyle w:val="ListParagraph"/>
        <w:numPr>
          <w:ilvl w:val="0"/>
          <w:numId w:val="1"/>
        </w:numPr>
        <w:rPr>
          <w:rFonts w:ascii="Arial Black" w:hAnsi="Arial Black"/>
          <w:sz w:val="24"/>
          <w:szCs w:val="24"/>
        </w:rPr>
      </w:pPr>
      <w:r>
        <w:rPr>
          <w:rFonts w:ascii="Arial Black" w:hAnsi="Arial Black"/>
          <w:sz w:val="24"/>
          <w:szCs w:val="24"/>
        </w:rPr>
        <w:t xml:space="preserve">As over in the USA the $1.25 trillion student debt mountain and the inflation of HE fees at a greater rate even than for US health-care becomes a </w:t>
      </w:r>
      <w:r w:rsidR="00D023D6">
        <w:rPr>
          <w:rFonts w:ascii="Arial Black" w:hAnsi="Arial Black"/>
          <w:sz w:val="24"/>
          <w:szCs w:val="24"/>
        </w:rPr>
        <w:t>hot-</w:t>
      </w:r>
      <w:r>
        <w:rPr>
          <w:rFonts w:ascii="Arial Black" w:hAnsi="Arial Black"/>
          <w:sz w:val="24"/>
          <w:szCs w:val="24"/>
        </w:rPr>
        <w:t xml:space="preserve">issue in the current presidential election campaigning, here in England the level of university fees at £9000 pa (and likely to increase to £9250 from 18/19, and beyond in later years) is </w:t>
      </w:r>
      <w:r w:rsidR="00AE0397">
        <w:rPr>
          <w:rFonts w:ascii="Arial Black" w:hAnsi="Arial Black"/>
          <w:sz w:val="24"/>
          <w:szCs w:val="24"/>
        </w:rPr>
        <w:t xml:space="preserve">already </w:t>
      </w:r>
      <w:r>
        <w:rPr>
          <w:rFonts w:ascii="Arial Black" w:hAnsi="Arial Black"/>
          <w:sz w:val="24"/>
          <w:szCs w:val="24"/>
        </w:rPr>
        <w:t xml:space="preserve">higher than for </w:t>
      </w:r>
      <w:r w:rsidR="009C722D">
        <w:rPr>
          <w:rFonts w:ascii="Arial Black" w:hAnsi="Arial Black"/>
          <w:sz w:val="24"/>
          <w:szCs w:val="24"/>
        </w:rPr>
        <w:t xml:space="preserve">almost all </w:t>
      </w:r>
      <w:r>
        <w:rPr>
          <w:rFonts w:ascii="Arial Black" w:hAnsi="Arial Black"/>
          <w:sz w:val="24"/>
          <w:szCs w:val="24"/>
        </w:rPr>
        <w:t xml:space="preserve">US public universities </w:t>
      </w:r>
      <w:r w:rsidR="00FA55FD">
        <w:rPr>
          <w:rFonts w:ascii="Arial Black" w:hAnsi="Arial Black"/>
          <w:sz w:val="24"/>
          <w:szCs w:val="24"/>
        </w:rPr>
        <w:t xml:space="preserve">- </w:t>
      </w:r>
      <w:r>
        <w:rPr>
          <w:rFonts w:ascii="Arial Black" w:hAnsi="Arial Black"/>
          <w:sz w:val="24"/>
          <w:szCs w:val="24"/>
        </w:rPr>
        <w:t xml:space="preserve">but </w:t>
      </w:r>
      <w:r w:rsidR="00FA55FD">
        <w:rPr>
          <w:rFonts w:ascii="Arial Black" w:hAnsi="Arial Black"/>
          <w:sz w:val="24"/>
          <w:szCs w:val="24"/>
        </w:rPr>
        <w:t xml:space="preserve">exactly </w:t>
      </w:r>
      <w:r>
        <w:rPr>
          <w:rFonts w:ascii="Arial Black" w:hAnsi="Arial Black"/>
          <w:sz w:val="24"/>
          <w:szCs w:val="24"/>
        </w:rPr>
        <w:t xml:space="preserve">the same concerns of value-for-money in </w:t>
      </w:r>
      <w:r w:rsidR="00FA55FD">
        <w:rPr>
          <w:rFonts w:ascii="Arial Black" w:hAnsi="Arial Black"/>
          <w:sz w:val="24"/>
          <w:szCs w:val="24"/>
        </w:rPr>
        <w:t xml:space="preserve">relation to </w:t>
      </w:r>
      <w:r>
        <w:rPr>
          <w:rFonts w:ascii="Arial Black" w:hAnsi="Arial Black"/>
          <w:sz w:val="24"/>
          <w:szCs w:val="24"/>
        </w:rPr>
        <w:t xml:space="preserve">the teaching quantum and quality and </w:t>
      </w:r>
      <w:r w:rsidR="00FA55FD">
        <w:rPr>
          <w:rFonts w:ascii="Arial Black" w:hAnsi="Arial Black"/>
          <w:sz w:val="24"/>
          <w:szCs w:val="24"/>
        </w:rPr>
        <w:t xml:space="preserve">also </w:t>
      </w:r>
      <w:r>
        <w:rPr>
          <w:rFonts w:ascii="Arial Black" w:hAnsi="Arial Black"/>
          <w:sz w:val="24"/>
          <w:szCs w:val="24"/>
        </w:rPr>
        <w:t>in terms of graduate un/under-employability apply</w:t>
      </w:r>
      <w:r w:rsidR="00AE0397">
        <w:rPr>
          <w:rFonts w:ascii="Arial Black" w:hAnsi="Arial Black"/>
          <w:sz w:val="24"/>
          <w:szCs w:val="24"/>
        </w:rPr>
        <w:t xml:space="preserve"> (Palfreyman &amp; Tapper, ‘Reshaping the University: The Rise of the Regulated Market in Higher Education’, Oxford University Press 2014)</w:t>
      </w:r>
      <w:r>
        <w:rPr>
          <w:rFonts w:ascii="Arial Black" w:hAnsi="Arial Black"/>
          <w:sz w:val="24"/>
          <w:szCs w:val="24"/>
        </w:rPr>
        <w:t xml:space="preserve">. Government, having over recent </w:t>
      </w:r>
      <w:r w:rsidR="009C722D">
        <w:rPr>
          <w:rFonts w:ascii="Arial Black" w:hAnsi="Arial Black"/>
          <w:sz w:val="24"/>
          <w:szCs w:val="24"/>
        </w:rPr>
        <w:t xml:space="preserve">years slowly </w:t>
      </w:r>
      <w:r>
        <w:rPr>
          <w:rFonts w:ascii="Arial Black" w:hAnsi="Arial Black"/>
          <w:sz w:val="24"/>
          <w:szCs w:val="24"/>
        </w:rPr>
        <w:t xml:space="preserve">retreated from funding HE as a free public good and having introduced and </w:t>
      </w:r>
      <w:r w:rsidR="00FA55FD">
        <w:rPr>
          <w:rFonts w:ascii="Arial Black" w:hAnsi="Arial Black"/>
          <w:sz w:val="24"/>
          <w:szCs w:val="24"/>
        </w:rPr>
        <w:t xml:space="preserve">steadily </w:t>
      </w:r>
      <w:r>
        <w:rPr>
          <w:rFonts w:ascii="Arial Black" w:hAnsi="Arial Black"/>
          <w:sz w:val="24"/>
          <w:szCs w:val="24"/>
        </w:rPr>
        <w:t xml:space="preserve">raised tuition fees, has a clear duty to ensure that the student-consumer is protected against </w:t>
      </w:r>
      <w:proofErr w:type="spellStart"/>
      <w:r>
        <w:rPr>
          <w:rFonts w:ascii="Arial Black" w:hAnsi="Arial Black"/>
          <w:sz w:val="24"/>
          <w:szCs w:val="24"/>
        </w:rPr>
        <w:t>mis</w:t>
      </w:r>
      <w:proofErr w:type="spellEnd"/>
      <w:r>
        <w:rPr>
          <w:rFonts w:ascii="Arial Black" w:hAnsi="Arial Black"/>
          <w:sz w:val="24"/>
          <w:szCs w:val="24"/>
        </w:rPr>
        <w:t xml:space="preserve">-selling of this costly </w:t>
      </w:r>
      <w:r w:rsidR="00FA55FD">
        <w:rPr>
          <w:rFonts w:ascii="Arial Black" w:hAnsi="Arial Black"/>
          <w:sz w:val="24"/>
          <w:szCs w:val="24"/>
        </w:rPr>
        <w:t>experience good and the HE industry has equally clear legal obligations to conduct its trade in accordance with consumer law</w:t>
      </w:r>
      <w:r w:rsidR="009C722D">
        <w:rPr>
          <w:rFonts w:ascii="Arial Black" w:hAnsi="Arial Black"/>
          <w:sz w:val="24"/>
          <w:szCs w:val="24"/>
        </w:rPr>
        <w:t xml:space="preserve"> (see</w:t>
      </w:r>
      <w:r w:rsidR="00C364BE">
        <w:rPr>
          <w:rFonts w:ascii="Arial Black" w:hAnsi="Arial Black"/>
          <w:sz w:val="24"/>
          <w:szCs w:val="24"/>
        </w:rPr>
        <w:t>, for example,</w:t>
      </w:r>
      <w:r w:rsidR="009C722D">
        <w:rPr>
          <w:rFonts w:ascii="Arial Black" w:hAnsi="Arial Black"/>
          <w:sz w:val="24"/>
          <w:szCs w:val="24"/>
        </w:rPr>
        <w:t xml:space="preserve"> the August 2016 Paper from the ‘intergenerational foundation’ on ‘The Graduate Premium: manna, myth or plain </w:t>
      </w:r>
      <w:proofErr w:type="spellStart"/>
      <w:r w:rsidR="009C722D">
        <w:rPr>
          <w:rFonts w:ascii="Arial Black" w:hAnsi="Arial Black"/>
          <w:sz w:val="24"/>
          <w:szCs w:val="24"/>
        </w:rPr>
        <w:t>mis</w:t>
      </w:r>
      <w:proofErr w:type="spellEnd"/>
      <w:r w:rsidR="009C722D">
        <w:rPr>
          <w:rFonts w:ascii="Arial Black" w:hAnsi="Arial Black"/>
          <w:sz w:val="24"/>
          <w:szCs w:val="24"/>
        </w:rPr>
        <w:t xml:space="preserve">-selling?’ at </w:t>
      </w:r>
      <w:hyperlink r:id="rId9" w:history="1">
        <w:r w:rsidR="009C722D" w:rsidRPr="00E60315">
          <w:rPr>
            <w:rStyle w:val="Hyperlink"/>
            <w:rFonts w:ascii="Arial Black" w:hAnsi="Arial Black"/>
            <w:sz w:val="24"/>
            <w:szCs w:val="24"/>
          </w:rPr>
          <w:t>www.if.org.uk</w:t>
        </w:r>
      </w:hyperlink>
      <w:r w:rsidR="009C722D">
        <w:rPr>
          <w:rFonts w:ascii="Arial Black" w:hAnsi="Arial Black"/>
          <w:sz w:val="24"/>
          <w:szCs w:val="24"/>
        </w:rPr>
        <w:t xml:space="preserve"> )</w:t>
      </w:r>
      <w:r w:rsidR="00FA55FD">
        <w:rPr>
          <w:rFonts w:ascii="Arial Black" w:hAnsi="Arial Black"/>
          <w:sz w:val="24"/>
          <w:szCs w:val="24"/>
        </w:rPr>
        <w:t xml:space="preserve">. If the present provision of undergraduate HE is not to be potentially the </w:t>
      </w:r>
      <w:r w:rsidR="00B837AA">
        <w:rPr>
          <w:rFonts w:ascii="Arial Black" w:hAnsi="Arial Black"/>
          <w:sz w:val="24"/>
          <w:szCs w:val="24"/>
        </w:rPr>
        <w:t xml:space="preserve">massive </w:t>
      </w:r>
      <w:proofErr w:type="spellStart"/>
      <w:r w:rsidR="00FA55FD">
        <w:rPr>
          <w:rFonts w:ascii="Arial Black" w:hAnsi="Arial Black"/>
          <w:sz w:val="24"/>
          <w:szCs w:val="24"/>
        </w:rPr>
        <w:t>mis</w:t>
      </w:r>
      <w:proofErr w:type="spellEnd"/>
      <w:r w:rsidR="00FA55FD">
        <w:rPr>
          <w:rFonts w:ascii="Arial Black" w:hAnsi="Arial Black"/>
          <w:sz w:val="24"/>
          <w:szCs w:val="24"/>
        </w:rPr>
        <w:t xml:space="preserve">-selling scandal of the 2020s </w:t>
      </w:r>
      <w:r w:rsidR="00AE0397">
        <w:rPr>
          <w:rFonts w:ascii="Arial Black" w:hAnsi="Arial Black"/>
          <w:sz w:val="24"/>
          <w:szCs w:val="24"/>
        </w:rPr>
        <w:t>(</w:t>
      </w:r>
      <w:r w:rsidR="00FA55FD">
        <w:rPr>
          <w:rFonts w:ascii="Arial Black" w:hAnsi="Arial Black"/>
          <w:sz w:val="24"/>
          <w:szCs w:val="24"/>
        </w:rPr>
        <w:t xml:space="preserve">as this decade has witnessed the tortious addressing of the repeated </w:t>
      </w:r>
      <w:proofErr w:type="spellStart"/>
      <w:r w:rsidR="00FA55FD">
        <w:rPr>
          <w:rFonts w:ascii="Arial Black" w:hAnsi="Arial Black"/>
          <w:sz w:val="24"/>
          <w:szCs w:val="24"/>
        </w:rPr>
        <w:t>mis</w:t>
      </w:r>
      <w:proofErr w:type="spellEnd"/>
      <w:r w:rsidR="00FA55FD">
        <w:rPr>
          <w:rFonts w:ascii="Arial Black" w:hAnsi="Arial Black"/>
          <w:sz w:val="24"/>
          <w:szCs w:val="24"/>
        </w:rPr>
        <w:t>-selling scams in the financial services industry</w:t>
      </w:r>
      <w:r w:rsidR="00AE0397">
        <w:rPr>
          <w:rFonts w:ascii="Arial Black" w:hAnsi="Arial Black"/>
          <w:sz w:val="24"/>
          <w:szCs w:val="24"/>
        </w:rPr>
        <w:t>)</w:t>
      </w:r>
      <w:r w:rsidR="00FA55FD">
        <w:rPr>
          <w:rFonts w:ascii="Arial Black" w:hAnsi="Arial Black"/>
          <w:sz w:val="24"/>
          <w:szCs w:val="24"/>
        </w:rPr>
        <w:t>, the</w:t>
      </w:r>
      <w:r w:rsidR="00B837AA">
        <w:rPr>
          <w:rFonts w:ascii="Arial Black" w:hAnsi="Arial Black"/>
          <w:sz w:val="24"/>
          <w:szCs w:val="24"/>
        </w:rPr>
        <w:t xml:space="preserve">n the </w:t>
      </w:r>
      <w:r w:rsidR="00FA55FD">
        <w:rPr>
          <w:rFonts w:ascii="Arial Black" w:hAnsi="Arial Black"/>
          <w:sz w:val="24"/>
          <w:szCs w:val="24"/>
        </w:rPr>
        <w:t xml:space="preserve">Government, the HE industry, the Governing </w:t>
      </w:r>
      <w:r w:rsidR="00FA55FD">
        <w:rPr>
          <w:rFonts w:ascii="Arial Black" w:hAnsi="Arial Black"/>
          <w:sz w:val="24"/>
          <w:szCs w:val="24"/>
        </w:rPr>
        <w:lastRenderedPageBreak/>
        <w:t xml:space="preserve">Boards of individual universities, and whatever HE regulatory regime is </w:t>
      </w:r>
      <w:r w:rsidR="00D023D6">
        <w:rPr>
          <w:rFonts w:ascii="Arial Black" w:hAnsi="Arial Black"/>
          <w:sz w:val="24"/>
          <w:szCs w:val="24"/>
        </w:rPr>
        <w:t xml:space="preserve">eventually </w:t>
      </w:r>
      <w:r w:rsidR="00FA55FD">
        <w:rPr>
          <w:rFonts w:ascii="Arial Black" w:hAnsi="Arial Black"/>
          <w:sz w:val="24"/>
          <w:szCs w:val="24"/>
        </w:rPr>
        <w:t xml:space="preserve">established must ensure that the student-consumer is truly put at the heart of the C21 university operating within an efficient and competitive market-place. </w:t>
      </w:r>
      <w:r w:rsidR="00B837AA">
        <w:rPr>
          <w:rFonts w:ascii="Arial Black" w:hAnsi="Arial Black"/>
          <w:sz w:val="24"/>
          <w:szCs w:val="24"/>
        </w:rPr>
        <w:t xml:space="preserve">And this must become a market-place that does not cheat the student-consumer, that provides value-for-money by way of the quantum and quality of undergraduate </w:t>
      </w:r>
      <w:proofErr w:type="gramStart"/>
      <w:r w:rsidR="00B837AA">
        <w:rPr>
          <w:rFonts w:ascii="Arial Black" w:hAnsi="Arial Black"/>
          <w:sz w:val="24"/>
          <w:szCs w:val="24"/>
        </w:rPr>
        <w:t>teaching,</w:t>
      </w:r>
      <w:proofErr w:type="gramEnd"/>
      <w:r w:rsidR="00B837AA">
        <w:rPr>
          <w:rFonts w:ascii="Arial Black" w:hAnsi="Arial Black"/>
          <w:sz w:val="24"/>
          <w:szCs w:val="24"/>
        </w:rPr>
        <w:t xml:space="preserve"> and through increasingly effective competition delivers pedagogical innovation and reduced prices/fees.</w:t>
      </w:r>
      <w:bookmarkStart w:id="0" w:name="_GoBack"/>
      <w:bookmarkEnd w:id="0"/>
      <w:r w:rsidR="00B837AA">
        <w:rPr>
          <w:rFonts w:ascii="Arial Black" w:hAnsi="Arial Black"/>
          <w:sz w:val="24"/>
          <w:szCs w:val="24"/>
        </w:rPr>
        <w:t xml:space="preserve"> </w:t>
      </w:r>
      <w:r w:rsidR="00FA55FD">
        <w:rPr>
          <w:rFonts w:ascii="Arial Black" w:hAnsi="Arial Black"/>
          <w:sz w:val="24"/>
          <w:szCs w:val="24"/>
        </w:rPr>
        <w:t xml:space="preserve">  </w:t>
      </w:r>
      <w:r>
        <w:rPr>
          <w:rFonts w:ascii="Arial Black" w:hAnsi="Arial Black"/>
          <w:sz w:val="24"/>
          <w:szCs w:val="24"/>
        </w:rPr>
        <w:t xml:space="preserve">     </w:t>
      </w:r>
      <w:r w:rsidR="000F5180">
        <w:rPr>
          <w:rFonts w:ascii="Arial Black" w:hAnsi="Arial Black"/>
          <w:sz w:val="24"/>
          <w:szCs w:val="24"/>
        </w:rPr>
        <w:t xml:space="preserve"> </w:t>
      </w:r>
      <w:r w:rsidR="00C313BC">
        <w:rPr>
          <w:rFonts w:ascii="Arial Black" w:hAnsi="Arial Black"/>
          <w:sz w:val="24"/>
          <w:szCs w:val="24"/>
        </w:rPr>
        <w:t xml:space="preserve">   </w:t>
      </w:r>
      <w:r w:rsidR="00AC71F1">
        <w:rPr>
          <w:rFonts w:ascii="Arial Black" w:hAnsi="Arial Black"/>
          <w:sz w:val="24"/>
          <w:szCs w:val="24"/>
        </w:rPr>
        <w:t xml:space="preserve"> </w:t>
      </w:r>
      <w:r w:rsidR="001C157B">
        <w:rPr>
          <w:rFonts w:ascii="Arial Black" w:hAnsi="Arial Black"/>
          <w:sz w:val="24"/>
          <w:szCs w:val="24"/>
        </w:rPr>
        <w:t xml:space="preserve">  </w:t>
      </w:r>
      <w:r w:rsidR="00350E9B">
        <w:rPr>
          <w:rFonts w:ascii="Arial Black" w:hAnsi="Arial Black"/>
          <w:sz w:val="24"/>
          <w:szCs w:val="24"/>
        </w:rPr>
        <w:t xml:space="preserve">     </w:t>
      </w:r>
      <w:r w:rsidR="007B5A06" w:rsidRPr="007B5A06">
        <w:rPr>
          <w:rFonts w:ascii="Arial Black" w:hAnsi="Arial Black"/>
          <w:sz w:val="24"/>
          <w:szCs w:val="24"/>
        </w:rPr>
        <w:t xml:space="preserve"> </w:t>
      </w:r>
    </w:p>
    <w:p w:rsidR="00C364BE" w:rsidRDefault="00C364BE">
      <w:pPr>
        <w:rPr>
          <w:rFonts w:ascii="Arial Black" w:hAnsi="Arial Black"/>
          <w:sz w:val="24"/>
          <w:szCs w:val="24"/>
        </w:rPr>
      </w:pPr>
    </w:p>
    <w:p w:rsidR="007B5A06" w:rsidRDefault="00FA55FD">
      <w:pPr>
        <w:rPr>
          <w:rFonts w:ascii="Arial Black" w:hAnsi="Arial Black"/>
          <w:sz w:val="24"/>
          <w:szCs w:val="24"/>
        </w:rPr>
      </w:pPr>
      <w:r>
        <w:rPr>
          <w:rFonts w:ascii="Arial Black" w:hAnsi="Arial Black"/>
          <w:sz w:val="24"/>
          <w:szCs w:val="24"/>
        </w:rPr>
        <w:t>© Hodges &amp; Palfreyman, 2016</w:t>
      </w:r>
    </w:p>
    <w:p w:rsidR="007B5A06" w:rsidRPr="007B5A06" w:rsidRDefault="007B5A06">
      <w:pPr>
        <w:rPr>
          <w:rFonts w:ascii="Arial Black" w:hAnsi="Arial Black"/>
          <w:sz w:val="24"/>
          <w:szCs w:val="24"/>
        </w:rPr>
      </w:pPr>
      <w:r>
        <w:rPr>
          <w:rFonts w:ascii="Arial Black" w:hAnsi="Arial Black"/>
          <w:sz w:val="24"/>
          <w:szCs w:val="24"/>
        </w:rPr>
        <w:t xml:space="preserve">  </w:t>
      </w:r>
    </w:p>
    <w:sectPr w:rsidR="007B5A06" w:rsidRPr="007B5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45D05"/>
    <w:multiLevelType w:val="hybridMultilevel"/>
    <w:tmpl w:val="372CF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06"/>
    <w:rsid w:val="000F5180"/>
    <w:rsid w:val="001C157B"/>
    <w:rsid w:val="001E7902"/>
    <w:rsid w:val="00350E9B"/>
    <w:rsid w:val="003A6148"/>
    <w:rsid w:val="004B739A"/>
    <w:rsid w:val="0055162E"/>
    <w:rsid w:val="007B5A06"/>
    <w:rsid w:val="00885029"/>
    <w:rsid w:val="009C722D"/>
    <w:rsid w:val="00AC71F1"/>
    <w:rsid w:val="00AE0397"/>
    <w:rsid w:val="00B837AA"/>
    <w:rsid w:val="00BF6C27"/>
    <w:rsid w:val="00C313BC"/>
    <w:rsid w:val="00C364BE"/>
    <w:rsid w:val="00D023D6"/>
    <w:rsid w:val="00FA5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A06"/>
    <w:pPr>
      <w:ind w:left="720"/>
      <w:contextualSpacing/>
    </w:pPr>
  </w:style>
  <w:style w:type="character" w:styleId="Hyperlink">
    <w:name w:val="Hyperlink"/>
    <w:basedOn w:val="DefaultParagraphFont"/>
    <w:uiPriority w:val="99"/>
    <w:unhideWhenUsed/>
    <w:rsid w:val="005516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A06"/>
    <w:pPr>
      <w:ind w:left="720"/>
      <w:contextualSpacing/>
    </w:pPr>
  </w:style>
  <w:style w:type="character" w:styleId="Hyperlink">
    <w:name w:val="Hyperlink"/>
    <w:basedOn w:val="DefaultParagraphFont"/>
    <w:uiPriority w:val="99"/>
    <w:unhideWhenUsed/>
    <w:rsid w:val="005516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org.uk/Our-Work/Publications/Corporate-Governance/Corporate-Culture-and-the-Role-of%20Boards-Report-o.pdf" TargetMode="External"/><Relationship Id="rId3" Type="http://schemas.microsoft.com/office/2007/relationships/stylesWithEffects" Target="stylesWithEffects.xml"/><Relationship Id="rId7" Type="http://schemas.openxmlformats.org/officeDocument/2006/relationships/hyperlink" Target="http://unctad.org/en/PublicationsLibrary/webditcclp2016d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thical-business-regula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New College Oxford</Company>
  <LinksUpToDate>false</LinksUpToDate>
  <CharactersWithSpaces>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3</cp:revision>
  <dcterms:created xsi:type="dcterms:W3CDTF">2016-07-29T14:12:00Z</dcterms:created>
  <dcterms:modified xsi:type="dcterms:W3CDTF">2016-08-01T16:13:00Z</dcterms:modified>
</cp:coreProperties>
</file>