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AD13" w14:textId="77777777" w:rsidR="007403A7" w:rsidRDefault="007403A7" w:rsidP="007403A7">
      <w:pPr>
        <w:jc w:val="center"/>
        <w:rPr>
          <w:b/>
        </w:rPr>
      </w:pPr>
      <w:r>
        <w:rPr>
          <w:b/>
        </w:rPr>
        <w:t>DRAFT. Not to be quoted or cited.</w:t>
      </w:r>
    </w:p>
    <w:p w14:paraId="4D6B8DC4" w14:textId="77777777" w:rsidR="007403A7" w:rsidRDefault="007403A7" w:rsidP="007403A7">
      <w:pPr>
        <w:jc w:val="center"/>
        <w:rPr>
          <w:b/>
        </w:rPr>
      </w:pPr>
    </w:p>
    <w:p w14:paraId="322A6634" w14:textId="77777777" w:rsidR="00D543A6" w:rsidRDefault="00D543A6" w:rsidP="007403A7">
      <w:pPr>
        <w:jc w:val="center"/>
        <w:rPr>
          <w:b/>
        </w:rPr>
      </w:pPr>
      <w:r>
        <w:rPr>
          <w:b/>
        </w:rPr>
        <w:t>“</w:t>
      </w:r>
      <w:r w:rsidR="00C53B77">
        <w:rPr>
          <w:b/>
        </w:rPr>
        <w:t>SKIMMING THE CREAM</w:t>
      </w:r>
      <w:r>
        <w:rPr>
          <w:b/>
        </w:rPr>
        <w:t xml:space="preserve">”: </w:t>
      </w:r>
      <w:r w:rsidR="00C53B77">
        <w:rPr>
          <w:b/>
        </w:rPr>
        <w:t xml:space="preserve">THE IMPACTS OF </w:t>
      </w:r>
      <w:r w:rsidR="007403A7">
        <w:rPr>
          <w:b/>
        </w:rPr>
        <w:t xml:space="preserve">CORESIDENCE AT </w:t>
      </w:r>
      <w:r w:rsidR="00C53B77">
        <w:rPr>
          <w:b/>
        </w:rPr>
        <w:t xml:space="preserve">THE UNIVERSITY OF </w:t>
      </w:r>
      <w:r w:rsidR="007403A7">
        <w:rPr>
          <w:b/>
        </w:rPr>
        <w:t>OXFORD</w:t>
      </w:r>
    </w:p>
    <w:p w14:paraId="1F9FB61B" w14:textId="77777777" w:rsidR="00D543A6" w:rsidRDefault="00D543A6" w:rsidP="007403A7">
      <w:pPr>
        <w:jc w:val="center"/>
        <w:rPr>
          <w:b/>
        </w:rPr>
      </w:pPr>
    </w:p>
    <w:p w14:paraId="4D19DBC9" w14:textId="77777777" w:rsidR="007403A7" w:rsidRDefault="00D543A6" w:rsidP="007403A7">
      <w:pPr>
        <w:jc w:val="center"/>
      </w:pPr>
      <w:r>
        <w:rPr>
          <w:b/>
        </w:rPr>
        <w:t>D</w:t>
      </w:r>
      <w:r w:rsidR="007403A7">
        <w:t>ennis A. Ahlburg</w:t>
      </w:r>
    </w:p>
    <w:p w14:paraId="74118DC6" w14:textId="77777777" w:rsidR="007403A7" w:rsidRDefault="007403A7" w:rsidP="007403A7">
      <w:pPr>
        <w:jc w:val="center"/>
      </w:pPr>
      <w:r>
        <w:t>Department of Economics</w:t>
      </w:r>
    </w:p>
    <w:p w14:paraId="6078EA60" w14:textId="77777777" w:rsidR="007403A7" w:rsidRDefault="007403A7" w:rsidP="007403A7">
      <w:pPr>
        <w:jc w:val="center"/>
      </w:pPr>
      <w:r>
        <w:t>Trinity University</w:t>
      </w:r>
    </w:p>
    <w:p w14:paraId="19C4520C" w14:textId="77777777" w:rsidR="007403A7" w:rsidRDefault="007403A7" w:rsidP="007403A7">
      <w:pPr>
        <w:jc w:val="center"/>
      </w:pPr>
      <w:r>
        <w:t>San Antonio, TX 78212, USA.</w:t>
      </w:r>
    </w:p>
    <w:p w14:paraId="098C7647" w14:textId="5F7A3016" w:rsidR="00F33929" w:rsidRDefault="00F33929" w:rsidP="007403A7">
      <w:pPr>
        <w:jc w:val="center"/>
      </w:pPr>
      <w:r>
        <w:t xml:space="preserve">and </w:t>
      </w:r>
    </w:p>
    <w:p w14:paraId="7B3740D2" w14:textId="5AB8E28A" w:rsidR="00F33929" w:rsidRDefault="00F33929" w:rsidP="007403A7">
      <w:pPr>
        <w:jc w:val="center"/>
      </w:pPr>
      <w:r>
        <w:t>Visiting Fellow</w:t>
      </w:r>
    </w:p>
    <w:p w14:paraId="11BEAB28" w14:textId="01D7AD24" w:rsidR="00F33929" w:rsidRDefault="00F33929" w:rsidP="007403A7">
      <w:pPr>
        <w:jc w:val="center"/>
      </w:pPr>
      <w:r>
        <w:t>Oxford Center for Higher Education Policy Studies</w:t>
      </w:r>
    </w:p>
    <w:p w14:paraId="404424B8" w14:textId="11417F0A" w:rsidR="00D65870" w:rsidRDefault="00D65870" w:rsidP="007403A7">
      <w:pPr>
        <w:jc w:val="center"/>
      </w:pPr>
      <w:r>
        <w:t>New College</w:t>
      </w:r>
    </w:p>
    <w:p w14:paraId="6D93B2AD" w14:textId="563A8C42" w:rsidR="00F33929" w:rsidRDefault="00F33929" w:rsidP="007403A7">
      <w:pPr>
        <w:jc w:val="center"/>
      </w:pPr>
      <w:r>
        <w:t>University of Oxford</w:t>
      </w:r>
    </w:p>
    <w:p w14:paraId="3FBF417D" w14:textId="77777777" w:rsidR="007403A7" w:rsidRDefault="007403A7" w:rsidP="007403A7">
      <w:pPr>
        <w:jc w:val="center"/>
      </w:pPr>
      <w:r>
        <w:t>and</w:t>
      </w:r>
    </w:p>
    <w:p w14:paraId="648F9606" w14:textId="77777777" w:rsidR="007403A7" w:rsidRDefault="007403A7" w:rsidP="007403A7">
      <w:pPr>
        <w:jc w:val="center"/>
      </w:pPr>
      <w:bookmarkStart w:id="0" w:name="_GoBack"/>
      <w:bookmarkEnd w:id="0"/>
      <w:r>
        <w:t>Brian P. McCall</w:t>
      </w:r>
    </w:p>
    <w:p w14:paraId="737B53BF" w14:textId="77777777" w:rsidR="007403A7" w:rsidRDefault="007403A7" w:rsidP="007403A7">
      <w:pPr>
        <w:jc w:val="center"/>
      </w:pPr>
      <w:r>
        <w:t>School of Education</w:t>
      </w:r>
    </w:p>
    <w:p w14:paraId="5D48B1FB" w14:textId="77777777" w:rsidR="007403A7" w:rsidRDefault="007403A7" w:rsidP="007403A7">
      <w:pPr>
        <w:jc w:val="center"/>
      </w:pPr>
      <w:r>
        <w:t>University of Michigan</w:t>
      </w:r>
    </w:p>
    <w:p w14:paraId="48E0E417" w14:textId="77777777" w:rsidR="007403A7" w:rsidRDefault="007403A7" w:rsidP="007403A7">
      <w:pPr>
        <w:jc w:val="center"/>
      </w:pPr>
      <w:r>
        <w:t>Ann Arbor, MI 48109, USA</w:t>
      </w:r>
    </w:p>
    <w:p w14:paraId="7D788CE1" w14:textId="77777777" w:rsidR="00F33929" w:rsidRDefault="00F33929" w:rsidP="00F33929">
      <w:pPr>
        <w:jc w:val="center"/>
      </w:pPr>
      <w:r>
        <w:t xml:space="preserve">and </w:t>
      </w:r>
    </w:p>
    <w:p w14:paraId="14C1852F" w14:textId="77777777" w:rsidR="00F33929" w:rsidRDefault="00F33929" w:rsidP="00F33929">
      <w:pPr>
        <w:jc w:val="center"/>
      </w:pPr>
      <w:r>
        <w:t>Visiting Fellow</w:t>
      </w:r>
    </w:p>
    <w:p w14:paraId="5F1F26C7" w14:textId="77777777" w:rsidR="00F33929" w:rsidRDefault="00F33929" w:rsidP="00F33929">
      <w:pPr>
        <w:jc w:val="center"/>
      </w:pPr>
      <w:r>
        <w:t>Oxford Center for Higher Education Policy Studies</w:t>
      </w:r>
    </w:p>
    <w:p w14:paraId="18B34E18" w14:textId="31C7AFAF" w:rsidR="00D65870" w:rsidRDefault="00D65870" w:rsidP="00F33929">
      <w:pPr>
        <w:jc w:val="center"/>
      </w:pPr>
      <w:r>
        <w:t>New College</w:t>
      </w:r>
    </w:p>
    <w:p w14:paraId="491F7DCE" w14:textId="77777777" w:rsidR="00F33929" w:rsidRDefault="00F33929" w:rsidP="00F33929">
      <w:pPr>
        <w:jc w:val="center"/>
      </w:pPr>
      <w:r>
        <w:t>University of Oxford</w:t>
      </w:r>
    </w:p>
    <w:p w14:paraId="769B347F" w14:textId="77777777" w:rsidR="007403A7" w:rsidRDefault="007403A7" w:rsidP="007403A7">
      <w:pPr>
        <w:jc w:val="center"/>
      </w:pPr>
    </w:p>
    <w:p w14:paraId="3B39ECCA" w14:textId="77777777" w:rsidR="007403A7" w:rsidRDefault="007403A7" w:rsidP="007403A7">
      <w:pPr>
        <w:jc w:val="center"/>
      </w:pPr>
    </w:p>
    <w:p w14:paraId="383DD694" w14:textId="5E5079FD" w:rsidR="007403A7" w:rsidRDefault="00BE1064" w:rsidP="007403A7">
      <w:r>
        <w:t>August 28</w:t>
      </w:r>
      <w:r w:rsidR="00425E29">
        <w:t>, 2017</w:t>
      </w:r>
      <w:r w:rsidR="007032A3">
        <w:t>. Version 2</w:t>
      </w:r>
      <w:r>
        <w:t>5</w:t>
      </w:r>
    </w:p>
    <w:p w14:paraId="375DB366" w14:textId="66B47007" w:rsidR="007403A7" w:rsidRDefault="0061666A" w:rsidP="007403A7">
      <w:r>
        <w:t>T</w:t>
      </w:r>
      <w:r w:rsidR="007403A7">
        <w:t xml:space="preserve">he authors would like to thank </w:t>
      </w:r>
      <w:r w:rsidR="00D543A6">
        <w:t>Brian Harrison</w:t>
      </w:r>
      <w:r w:rsidR="00F0724F">
        <w:t>, Ri</w:t>
      </w:r>
      <w:r w:rsidR="007403A7">
        <w:t>ck Trainor</w:t>
      </w:r>
      <w:r w:rsidR="00F0724F">
        <w:t>, and Janet Howarth</w:t>
      </w:r>
      <w:r w:rsidR="00D543A6">
        <w:t xml:space="preserve"> </w:t>
      </w:r>
      <w:r w:rsidR="00F0724F">
        <w:t>f</w:t>
      </w:r>
      <w:r w:rsidR="00D543A6">
        <w:t xml:space="preserve">or discussions </w:t>
      </w:r>
      <w:r w:rsidR="00F0724F">
        <w:t xml:space="preserve">and comments </w:t>
      </w:r>
      <w:r w:rsidR="00D543A6">
        <w:t>on the topic and</w:t>
      </w:r>
      <w:r w:rsidR="007403A7">
        <w:t xml:space="preserve"> Christine Ferdinand, </w:t>
      </w:r>
      <w:r w:rsidR="00D543A6">
        <w:t xml:space="preserve">Daryl Green, </w:t>
      </w:r>
      <w:r w:rsidR="007403A7">
        <w:t>and the staff of Magdalen College Library for</w:t>
      </w:r>
      <w:r w:rsidR="00D543A6">
        <w:t xml:space="preserve"> assistance with source material</w:t>
      </w:r>
      <w:r w:rsidR="007403A7">
        <w:t>.</w:t>
      </w:r>
    </w:p>
    <w:p w14:paraId="6C0E959D" w14:textId="4071A78F" w:rsidR="00173C5C" w:rsidRDefault="00173C5C" w:rsidP="00116124">
      <w:pPr>
        <w:spacing w:line="480" w:lineRule="auto"/>
      </w:pPr>
      <w:r>
        <w:lastRenderedPageBreak/>
        <w:t>In a letter to William Hayter, Warden of New College from 1958 to 1976, Lord Franks</w:t>
      </w:r>
      <w:r>
        <w:rPr>
          <w:rStyle w:val="FootnoteReference"/>
        </w:rPr>
        <w:footnoteReference w:id="1"/>
      </w:r>
      <w:r>
        <w:t xml:space="preserve"> wrote “the equality of the sexes is a test of Oxford’s seriousness of purpose in living up to the proper ideals of a great university” (Oxford Magazine 1965: 325).  For much of its history Oxford failed this “test of serious purpose”.  </w:t>
      </w:r>
      <w:r w:rsidR="00010874">
        <w:t xml:space="preserve">It was not until </w:t>
      </w:r>
      <w:r w:rsidR="00FD4D9D">
        <w:t xml:space="preserve">1920 </w:t>
      </w:r>
      <w:r w:rsidR="00010874">
        <w:t xml:space="preserve">that Oxford </w:t>
      </w:r>
      <w:r w:rsidR="00FD4D9D">
        <w:t xml:space="preserve">accepted women as full members </w:t>
      </w:r>
      <w:r>
        <w:t xml:space="preserve">able to take </w:t>
      </w:r>
      <w:r w:rsidR="00FD4D9D">
        <w:t>the BA degree</w:t>
      </w:r>
      <w:r>
        <w:t xml:space="preserve"> but</w:t>
      </w:r>
      <w:r w:rsidR="00010874">
        <w:t xml:space="preserve"> </w:t>
      </w:r>
      <w:r w:rsidR="00FD4D9D">
        <w:t xml:space="preserve">in 1927 </w:t>
      </w:r>
      <w:r>
        <w:t xml:space="preserve">it placed </w:t>
      </w:r>
      <w:r w:rsidR="00FD4D9D">
        <w:t>a quota on</w:t>
      </w:r>
      <w:r w:rsidR="00882358">
        <w:t xml:space="preserve"> the number of women </w:t>
      </w:r>
      <w:r>
        <w:t xml:space="preserve">undergraduates </w:t>
      </w:r>
      <w:r w:rsidR="00E42FE9">
        <w:t xml:space="preserve">and </w:t>
      </w:r>
      <w:r>
        <w:t xml:space="preserve">the quota </w:t>
      </w:r>
      <w:r w:rsidR="00E42FE9">
        <w:t>was not lifted until 1957</w:t>
      </w:r>
      <w:r w:rsidR="00882358">
        <w:t xml:space="preserve"> (Ferdinand 2015).</w:t>
      </w:r>
      <w:r w:rsidR="00FD4D9D">
        <w:t xml:space="preserve"> </w:t>
      </w:r>
      <w:r w:rsidR="00E42FE9">
        <w:rPr>
          <w:rStyle w:val="FootnoteReference"/>
        </w:rPr>
        <w:footnoteReference w:id="2"/>
      </w:r>
      <w:r w:rsidR="00FD4D9D">
        <w:t xml:space="preserve"> </w:t>
      </w:r>
      <w:r w:rsidR="00FE5E0C">
        <w:t>Tr</w:t>
      </w:r>
      <w:r w:rsidR="00100A6B">
        <w:t>easurers from the women’s colle</w:t>
      </w:r>
      <w:r w:rsidR="00FE5E0C">
        <w:t>g</w:t>
      </w:r>
      <w:r w:rsidR="00100A6B">
        <w:t>e</w:t>
      </w:r>
      <w:r w:rsidR="00FE5E0C">
        <w:t>s were excluded from the Estate Bursar’s Committee until 1960 and from the Proctorial cycle unti</w:t>
      </w:r>
      <w:r w:rsidR="000254C5">
        <w:t>l</w:t>
      </w:r>
      <w:r w:rsidR="00FE5E0C">
        <w:t xml:space="preserve"> 1977 (Howarth 1994</w:t>
      </w:r>
      <w:r w:rsidR="00D9768D">
        <w:t>a</w:t>
      </w:r>
      <w:r w:rsidR="00FE5E0C">
        <w:t>: 352, 356)</w:t>
      </w:r>
      <w:r w:rsidR="000254C5">
        <w:t>.</w:t>
      </w:r>
      <w:r w:rsidR="00C53B77">
        <w:rPr>
          <w:rStyle w:val="FootnoteReference"/>
        </w:rPr>
        <w:footnoteReference w:id="3"/>
      </w:r>
      <w:r w:rsidR="000254C5">
        <w:t xml:space="preserve">  </w:t>
      </w:r>
      <w:r w:rsidR="00FD4D9D">
        <w:t xml:space="preserve">By the 1960s </w:t>
      </w:r>
      <w:r w:rsidR="00D243A7">
        <w:t xml:space="preserve">pressure was building within and without </w:t>
      </w:r>
      <w:r w:rsidR="00116124">
        <w:t xml:space="preserve">Oxford </w:t>
      </w:r>
      <w:r w:rsidR="00D243A7">
        <w:t>t</w:t>
      </w:r>
      <w:r w:rsidR="00116124">
        <w:t xml:space="preserve">o increase the </w:t>
      </w:r>
      <w:r w:rsidR="002A33FC">
        <w:t>number</w:t>
      </w:r>
      <w:r w:rsidR="00116124">
        <w:t xml:space="preserve"> of women</w:t>
      </w:r>
      <w:r w:rsidR="00882358">
        <w:t xml:space="preserve"> and </w:t>
      </w:r>
      <w:r w:rsidR="00E01158">
        <w:t xml:space="preserve">to </w:t>
      </w:r>
      <w:r w:rsidR="004A06C6">
        <w:t>introduce coresidence</w:t>
      </w:r>
      <w:r>
        <w:t xml:space="preserve">, </w:t>
      </w:r>
      <w:r w:rsidR="00907AD8">
        <w:t xml:space="preserve">that is, </w:t>
      </w:r>
      <w:r>
        <w:t>men and w</w:t>
      </w:r>
      <w:r w:rsidR="007A44B4">
        <w:t xml:space="preserve">omen living in the same college which was </w:t>
      </w:r>
      <w:r>
        <w:t>a</w:t>
      </w:r>
      <w:r w:rsidR="00802D0B">
        <w:t>n established</w:t>
      </w:r>
      <w:r>
        <w:t xml:space="preserve"> feature of</w:t>
      </w:r>
      <w:r w:rsidR="00882358">
        <w:t xml:space="preserve"> other major British universities (Hicks</w:t>
      </w:r>
      <w:r w:rsidR="00D30DC3">
        <w:t xml:space="preserve"> </w:t>
      </w:r>
      <w:r w:rsidR="00882358">
        <w:t>20</w:t>
      </w:r>
      <w:r w:rsidR="00D30DC3">
        <w:t>04</w:t>
      </w:r>
      <w:r>
        <w:t xml:space="preserve">). </w:t>
      </w:r>
      <w:r w:rsidR="007A44B4">
        <w:t xml:space="preserve"> The academic argument for admitting more women was compelling: the percentage of female candidates admitted was half that of males despite women having better A-level passes than men (Howarth 1994</w:t>
      </w:r>
      <w:r w:rsidR="00D9768D">
        <w:t>a</w:t>
      </w:r>
      <w:r w:rsidR="00577B91">
        <w:t>:366, Brock 1994:</w:t>
      </w:r>
      <w:r w:rsidR="007A44B4">
        <w:t>750).</w:t>
      </w:r>
    </w:p>
    <w:p w14:paraId="068E9C54" w14:textId="11E8F975" w:rsidR="00D543A6" w:rsidRDefault="00116124" w:rsidP="00116124">
      <w:pPr>
        <w:spacing w:line="480" w:lineRule="auto"/>
      </w:pPr>
      <w:r>
        <w:t xml:space="preserve">In his recent history of the University of Oxford Laurence Brockliss </w:t>
      </w:r>
      <w:r w:rsidR="00527540">
        <w:t xml:space="preserve">(2016: 577) </w:t>
      </w:r>
      <w:r>
        <w:t>acknowledged that</w:t>
      </w:r>
      <w:r w:rsidR="00FD4D9D">
        <w:t xml:space="preserve"> </w:t>
      </w:r>
      <w:r w:rsidR="0011722E">
        <w:t>“Most male dons accepted the case for increasing the female presence in the University.  The minority who were uneasy with the idea of coeducation were soon reconciled to the idea once they grasped that it would have a positive effect on standards.</w:t>
      </w:r>
      <w:r w:rsidR="00C821B1">
        <w:rPr>
          <w:rStyle w:val="FootnoteReference"/>
        </w:rPr>
        <w:footnoteReference w:id="4"/>
      </w:r>
      <w:r w:rsidR="0011722E">
        <w:t xml:space="preserve">  Few tutors bridled at the prospect of replacing weaker</w:t>
      </w:r>
      <w:r w:rsidR="000254C5">
        <w:t xml:space="preserve"> male undergraduates with first</w:t>
      </w:r>
      <w:r w:rsidR="0011722E">
        <w:t xml:space="preserve">–class women, and none wanted to see their college slip down the Norrington </w:t>
      </w:r>
      <w:r w:rsidR="0011722E">
        <w:lastRenderedPageBreak/>
        <w:t>ranking by failing to join the bandwagon</w:t>
      </w:r>
      <w:r>
        <w:t xml:space="preserve">. </w:t>
      </w:r>
      <w:r w:rsidR="002B1DE4">
        <w:rPr>
          <w:rStyle w:val="FootnoteReference"/>
        </w:rPr>
        <w:footnoteReference w:id="5"/>
      </w:r>
      <w:r>
        <w:t xml:space="preserve"> There was no difficulty either in recruiting many more women of a high </w:t>
      </w:r>
      <w:r w:rsidR="0025396E">
        <w:t>calib</w:t>
      </w:r>
      <w:r>
        <w:t>r</w:t>
      </w:r>
      <w:r w:rsidR="0025396E">
        <w:t>e</w:t>
      </w:r>
      <w:r>
        <w:t>” (p.577)</w:t>
      </w:r>
      <w:r w:rsidR="00F07D00">
        <w:rPr>
          <w:rStyle w:val="FootnoteReference"/>
        </w:rPr>
        <w:footnoteReference w:id="6"/>
      </w:r>
      <w:r>
        <w:t xml:space="preserve">.  </w:t>
      </w:r>
      <w:r w:rsidR="0011722E">
        <w:t xml:space="preserve"> </w:t>
      </w:r>
      <w:r w:rsidR="00802D0B">
        <w:t>Traditionalists such as Dacre Balsdon argued that neither men nor women liked being taught by women and others such as Henry Bell, an early proponent of coresidence at New College, argued that women were more successful if taught by men (Dyhouse 2002: 289-290</w:t>
      </w:r>
      <w:r w:rsidR="00D83CA9">
        <w:t>; Hart 1989: 217)</w:t>
      </w:r>
      <w:r w:rsidR="000D75AC">
        <w:t>.</w:t>
      </w:r>
      <w:r w:rsidR="0011722E">
        <w:t xml:space="preserve"> </w:t>
      </w:r>
      <w:r w:rsidR="00FE4637">
        <w:t>T</w:t>
      </w:r>
      <w:r w:rsidR="008136D4">
        <w:t>hese arguments, if true, did not augur well for the position of women fellows in a post-coresidence Oxford and, indeed, t</w:t>
      </w:r>
      <w:r w:rsidR="00FE4637">
        <w:t>he main opposition to coresidence</w:t>
      </w:r>
      <w:r w:rsidR="00907AD8">
        <w:t xml:space="preserve"> came from the women’s colleges.</w:t>
      </w:r>
      <w:r w:rsidR="002F3716">
        <w:rPr>
          <w:rStyle w:val="FootnoteReference"/>
        </w:rPr>
        <w:footnoteReference w:id="7"/>
      </w:r>
      <w:r w:rsidR="00907AD8">
        <w:t xml:space="preserve">  Peter Ady, a Fellow of St. Hugh’s, wrote “what makes the women’s colleges hesitate is that it is</w:t>
      </w:r>
      <w:r w:rsidR="00454A67">
        <w:t xml:space="preserve"> difficult to predict how they t</w:t>
      </w:r>
      <w:r w:rsidR="00907AD8">
        <w:t>hemselves will be affected as institutions” (Ady 1964: 138).  Ady felt that the men’s colleges would “ski</w:t>
      </w:r>
      <w:r w:rsidR="00454A67">
        <w:t>m the cream” of the best studen</w:t>
      </w:r>
      <w:r w:rsidR="00907AD8">
        <w:t>t</w:t>
      </w:r>
      <w:r w:rsidR="00454A67">
        <w:t>s</w:t>
      </w:r>
      <w:r w:rsidR="00907AD8">
        <w:t xml:space="preserve"> at the women’s</w:t>
      </w:r>
      <w:r w:rsidR="00FE4637">
        <w:t xml:space="preserve"> </w:t>
      </w:r>
      <w:r w:rsidR="00454A67">
        <w:t>colleges</w:t>
      </w:r>
      <w:r w:rsidR="000254C5">
        <w:t>.</w:t>
      </w:r>
      <w:r w:rsidR="00454A67">
        <w:t xml:space="preserve">  </w:t>
      </w:r>
      <w:r w:rsidR="00FE5E0C">
        <w:t>The women’</w:t>
      </w:r>
      <w:r w:rsidR="000254C5">
        <w:t xml:space="preserve">s colleges feared </w:t>
      </w:r>
      <w:r w:rsidR="00FE5E0C">
        <w:t>that not only would they lose th</w:t>
      </w:r>
      <w:r w:rsidR="000254C5">
        <w:t>e brightest women but they would</w:t>
      </w:r>
      <w:r w:rsidR="00FE5E0C">
        <w:t xml:space="preserve"> attract the dullest men.  </w:t>
      </w:r>
      <w:r w:rsidR="00D543A6">
        <w:t>Kathleen Kenyon, the Principal of St. Hugh’s, concluded “we should get the dregs.  Only men who failed to make the grade at a man’s college would try to creep in this way</w:t>
      </w:r>
      <w:r w:rsidR="00FE5E0C">
        <w:t>, and only a man who saw no hope of getting a fellowship elsewhere would accept one at a college where it would require a effluxion of time of some thirty years before petticoat government disappeared” (Brock 1994: 747).</w:t>
      </w:r>
      <w:r w:rsidR="00DD1F7B">
        <w:t xml:space="preserve">  </w:t>
      </w:r>
      <w:r w:rsidR="00D9768D">
        <w:t>Howarth</w:t>
      </w:r>
      <w:r w:rsidR="00DD1F7B">
        <w:t xml:space="preserve"> (1994</w:t>
      </w:r>
      <w:r w:rsidR="00D9768D">
        <w:t>b</w:t>
      </w:r>
      <w:r w:rsidR="00DD1F7B">
        <w:t xml:space="preserve">:144) disputed this claim.  She stated that the women’s colleges that decided to accept men did so in the expectation of attracting better candidates and “in a spirit of long-run confidence in the modern world of sexually-integrated work-places and equal opportunity codes.” The impact of </w:t>
      </w:r>
      <w:r w:rsidR="00DD1F7B">
        <w:lastRenderedPageBreak/>
        <w:t xml:space="preserve">coresidence on the women’s </w:t>
      </w:r>
      <w:r w:rsidR="008136D4">
        <w:t>colleges is an empirical que</w:t>
      </w:r>
      <w:r w:rsidR="002A33FC">
        <w:t>stion which we will investigate and we shall show that “petticoat government</w:t>
      </w:r>
      <w:r w:rsidR="00BE1064">
        <w:t>”</w:t>
      </w:r>
      <w:r w:rsidR="002A33FC">
        <w:t xml:space="preserve"> disappeared much faster than Kenyon could have imagined.</w:t>
      </w:r>
    </w:p>
    <w:p w14:paraId="31EE7A0C" w14:textId="77777777" w:rsidR="002A33FC" w:rsidRDefault="00FE4637" w:rsidP="00116124">
      <w:pPr>
        <w:spacing w:line="480" w:lineRule="auto"/>
      </w:pPr>
      <w:r>
        <w:t xml:space="preserve">Lady Mary Ogilvie, the Principal of St Anne’s College, declared that </w:t>
      </w:r>
      <w:r w:rsidR="00454A67">
        <w:t xml:space="preserve">if coresidence were to occur </w:t>
      </w:r>
      <w:r>
        <w:t>“</w:t>
      </w:r>
      <w:r w:rsidR="006E4233">
        <w:t>women would remain an</w:t>
      </w:r>
      <w:r>
        <w:t xml:space="preserve"> appendage to the [former men’</w:t>
      </w:r>
      <w:r w:rsidR="006E4233">
        <w:t>s] college</w:t>
      </w:r>
      <w:r>
        <w:t>”</w:t>
      </w:r>
      <w:r w:rsidR="006E4233">
        <w:t xml:space="preserve"> and </w:t>
      </w:r>
      <w:r w:rsidR="00EA6A39">
        <w:t xml:space="preserve">that </w:t>
      </w:r>
      <w:r w:rsidR="006E4233">
        <w:t>the “consciously masculine traditions</w:t>
      </w:r>
      <w:r w:rsidR="00E01158">
        <w:t xml:space="preserve">” </w:t>
      </w:r>
      <w:r w:rsidR="006E4233">
        <w:t xml:space="preserve">of the men’s colleges were ill-suited </w:t>
      </w:r>
      <w:r w:rsidR="00EA6A39">
        <w:t>to dealing with issues of importance to women.</w:t>
      </w:r>
      <w:r w:rsidR="006E4233">
        <w:t xml:space="preserve"> </w:t>
      </w:r>
      <w:r w:rsidR="000D75AC">
        <w:t xml:space="preserve"> </w:t>
      </w:r>
      <w:r w:rsidR="006E4233">
        <w:t xml:space="preserve">She was concerned further that women academics and administrators would be even less welcome in male colleges than female students </w:t>
      </w:r>
      <w:r w:rsidR="00D83CA9">
        <w:t xml:space="preserve">and that their numbers at Oxford would fall </w:t>
      </w:r>
      <w:r w:rsidR="006E4233">
        <w:t xml:space="preserve">(Hicks 2004).  </w:t>
      </w:r>
      <w:r w:rsidR="000C5F9E">
        <w:t>The head of the Franks Commission, Lord Franks, also thought that coresidence could “inflict great damage on the existing women’s colleges” (Malkiel 2016: 544-45).   Some of the proponents</w:t>
      </w:r>
      <w:r w:rsidR="00802D0B">
        <w:t xml:space="preserve"> of coresidence</w:t>
      </w:r>
      <w:r w:rsidR="000C5F9E">
        <w:t>,</w:t>
      </w:r>
      <w:r w:rsidR="00802D0B">
        <w:t xml:space="preserve"> such as de Ste. Croix of New College</w:t>
      </w:r>
      <w:r w:rsidR="000C5F9E">
        <w:t>,</w:t>
      </w:r>
      <w:r w:rsidR="00802D0B">
        <w:t xml:space="preserve"> recognized the potential for a conflict between the interests of the women’s colleges and the broader interests of women at Oxford but concluded that the former might have to be sacrificed to the latter (de Ste. Croix 1964).  </w:t>
      </w:r>
    </w:p>
    <w:p w14:paraId="280FF266" w14:textId="0C19BFC1" w:rsidR="0059565C" w:rsidRDefault="00C5166E" w:rsidP="00116124">
      <w:pPr>
        <w:spacing w:line="480" w:lineRule="auto"/>
      </w:pPr>
      <w:r>
        <w:t>Dyhouse (2002) discussed the mistrust between men and women over protecting and furthering women’s education at Oxford.  She noted that the division over coresidence, despite the strong positions discussed above, was not a simple male-female division as if often thought.  There were men and women on both sides of the issue.  For instance, in 1964 sixteen female fellows wrote a letter to the Observer expressing their support for coresidence and fo</w:t>
      </w:r>
      <w:r w:rsidR="008136D4">
        <w:t>u</w:t>
      </w:r>
      <w:r w:rsidR="003709FA">
        <w:t>r years later thirty-</w:t>
      </w:r>
      <w:r>
        <w:t>three female fellows wrote a letter to the Oxford Magazine supporting coresidence.</w:t>
      </w:r>
      <w:r w:rsidR="00D83CA9">
        <w:t xml:space="preserve">  Students were exposed to these opposing views and some, such as Exeter’s John Gray, contribute to the debate</w:t>
      </w:r>
      <w:r w:rsidR="00EA77A9">
        <w:t xml:space="preserve"> (Gray 1969)</w:t>
      </w:r>
      <w:r w:rsidR="00D83CA9">
        <w:t xml:space="preserve">.  </w:t>
      </w:r>
      <w:r w:rsidR="00EA77A9">
        <w:t xml:space="preserve">In general undergraduates supported coresidence and often voted in favour of it before such </w:t>
      </w:r>
      <w:r w:rsidR="002A33FC">
        <w:t xml:space="preserve">a </w:t>
      </w:r>
      <w:r w:rsidR="00EA77A9">
        <w:t>vote</w:t>
      </w:r>
      <w:r w:rsidR="002A33FC">
        <w:t xml:space="preserve"> was held</w:t>
      </w:r>
      <w:r w:rsidR="00EA77A9">
        <w:t xml:space="preserve"> in the Governing Body of the college.  </w:t>
      </w:r>
      <w:r w:rsidR="00D83CA9">
        <w:t xml:space="preserve">Sally Kenney (C.1980-82), the first female Junior Common Room </w:t>
      </w:r>
      <w:r w:rsidR="00D83CA9">
        <w:lastRenderedPageBreak/>
        <w:t>President at Magdalen College, recalled that women “were welcomed by some, tolerated by others, loathed by a few” (Ferdinand 2015:81).</w:t>
      </w:r>
      <w:r w:rsidR="00D83CA9">
        <w:rPr>
          <w:rStyle w:val="FootnoteReference"/>
        </w:rPr>
        <w:footnoteReference w:id="8"/>
      </w:r>
    </w:p>
    <w:p w14:paraId="06D2E928" w14:textId="7D18349A" w:rsidR="00ED293A" w:rsidRDefault="00EA6A39" w:rsidP="00116124">
      <w:pPr>
        <w:spacing w:line="480" w:lineRule="auto"/>
      </w:pPr>
      <w:r>
        <w:t>T</w:t>
      </w:r>
      <w:r w:rsidR="001C68B9">
        <w:t xml:space="preserve">hree possibilities </w:t>
      </w:r>
      <w:r>
        <w:t xml:space="preserve">to increase the number of women at Oxford </w:t>
      </w:r>
      <w:r w:rsidR="001C68B9">
        <w:t>were debated: replace m</w:t>
      </w:r>
      <w:r>
        <w:t>en in men’s colleges with women</w:t>
      </w:r>
      <w:r w:rsidR="001C68B9">
        <w:t xml:space="preserve">; expand the present women’s colleges; and create new mixed colleges (Vaughan 1964: 25).  </w:t>
      </w:r>
      <w:r w:rsidR="0059565C">
        <w:t>At Oxford i</w:t>
      </w:r>
      <w:r w:rsidR="001C68B9">
        <w:t>n 1963-64</w:t>
      </w:r>
      <w:r w:rsidR="0059565C">
        <w:t>,</w:t>
      </w:r>
      <w:r w:rsidR="001C68B9">
        <w:t xml:space="preserve"> the percentage of undergraduates who were female was 16%</w:t>
      </w:r>
      <w:r w:rsidR="00D83CA9">
        <w:t xml:space="preserve"> (Hart 1989: 217).</w:t>
      </w:r>
      <w:r w:rsidR="001C68B9">
        <w:t xml:space="preserve"> </w:t>
      </w:r>
      <w:r w:rsidR="001C6A63">
        <w:t xml:space="preserve"> As shown in Table 1, this percentage was similar </w:t>
      </w:r>
      <w:r w:rsidR="00EA77A9">
        <w:t xml:space="preserve">to </w:t>
      </w:r>
      <w:r w:rsidR="001C6A63">
        <w:t xml:space="preserve">that of the 1930s and 1950s. </w:t>
      </w:r>
      <w:r w:rsidR="001C68B9">
        <w:t xml:space="preserve"> At other UK universities </w:t>
      </w:r>
      <w:r w:rsidR="001C6A63">
        <w:t xml:space="preserve">in the mid-1960s </w:t>
      </w:r>
      <w:r w:rsidR="001C68B9">
        <w:t>38%</w:t>
      </w:r>
      <w:r w:rsidR="001C6A63">
        <w:t xml:space="preserve"> of undergraduates were female.</w:t>
      </w:r>
      <w:r w:rsidR="001C68B9">
        <w:t xml:space="preserve">  </w:t>
      </w:r>
      <w:r w:rsidR="0059565C">
        <w:t>G.E.M. d</w:t>
      </w:r>
      <w:r w:rsidR="001C68B9">
        <w:t>e Ste. Croix</w:t>
      </w:r>
      <w:r w:rsidR="0059565C">
        <w:t xml:space="preserve">, a Fellow of New College, thought that 35% </w:t>
      </w:r>
      <w:r w:rsidR="00173C5C">
        <w:t xml:space="preserve">female undergraduates </w:t>
      </w:r>
      <w:r w:rsidR="0059565C">
        <w:t xml:space="preserve">was </w:t>
      </w:r>
      <w:r w:rsidR="00EA77A9">
        <w:t xml:space="preserve">a </w:t>
      </w:r>
      <w:r w:rsidR="001C6A63">
        <w:t xml:space="preserve">reasonable </w:t>
      </w:r>
      <w:r w:rsidR="0059565C">
        <w:t xml:space="preserve">target </w:t>
      </w:r>
      <w:r w:rsidR="001C6A63">
        <w:t xml:space="preserve">for </w:t>
      </w:r>
      <w:r w:rsidR="0059565C">
        <w:t xml:space="preserve">Oxford.  </w:t>
      </w:r>
      <w:r w:rsidR="00980724">
        <w:t xml:space="preserve">Between 1957 and 1964 the number of women matriculating at Oxford increased from 349 to 452 by increasing the size of the women’s colleges, the option favoured by the Franks Commission and the option most favoured by the women’s colleges (Hicks 2004).  </w:t>
      </w:r>
      <w:r w:rsidR="0059565C">
        <w:t xml:space="preserve">However, the women’s colleges were </w:t>
      </w:r>
      <w:r w:rsidR="00980724">
        <w:t xml:space="preserve">planning </w:t>
      </w:r>
      <w:r w:rsidR="00BE1064">
        <w:t xml:space="preserve">only </w:t>
      </w:r>
      <w:r w:rsidR="00980724">
        <w:t>to expand by a further</w:t>
      </w:r>
      <w:r w:rsidR="0059565C">
        <w:t xml:space="preserve"> 120 places or so.  </w:t>
      </w:r>
      <w:r w:rsidR="00BE1064">
        <w:t>Even i</w:t>
      </w:r>
      <w:r w:rsidR="0059565C">
        <w:t>f they increased that number to 140</w:t>
      </w:r>
      <w:r>
        <w:t>,</w:t>
      </w:r>
      <w:r w:rsidR="0059565C">
        <w:t xml:space="preserve"> the percentage of female students would only be 18% </w:t>
      </w:r>
      <w:r w:rsidR="00BE1064">
        <w:t xml:space="preserve">of undergraduate students </w:t>
      </w:r>
      <w:r w:rsidR="0059565C">
        <w:t>and even if the women’s colleges created 200 new places or if two new mixed colleges of at least 275 were founded the proportion of fem</w:t>
      </w:r>
      <w:r w:rsidR="00C821B1">
        <w:t>ale students would only be 20%</w:t>
      </w:r>
      <w:r>
        <w:t xml:space="preserve"> (de Ste. Croix 1964:5)</w:t>
      </w:r>
      <w:r w:rsidR="00C821B1">
        <w:t>.</w:t>
      </w:r>
      <w:r w:rsidR="00C821B1">
        <w:rPr>
          <w:rStyle w:val="FootnoteReference"/>
        </w:rPr>
        <w:footnoteReference w:id="9"/>
      </w:r>
      <w:r>
        <w:t xml:space="preserve"> </w:t>
      </w:r>
      <w:r w:rsidR="0059565C">
        <w:t xml:space="preserve">Speaking for many at Oxford, de Ste. Croix wrote “There can be no significant change until some of the men’s colleges become mixed.”  </w:t>
      </w:r>
      <w:r w:rsidR="006B6FC4">
        <w:t>This was the option least favoured by the women’s colleges.</w:t>
      </w:r>
    </w:p>
    <w:p w14:paraId="64475C8D" w14:textId="134A6C22" w:rsidR="00F07D00" w:rsidRDefault="0059565C" w:rsidP="00116124">
      <w:pPr>
        <w:spacing w:line="480" w:lineRule="auto"/>
      </w:pPr>
      <w:r>
        <w:t>On June 25</w:t>
      </w:r>
      <w:r w:rsidR="003709FA">
        <w:t>,</w:t>
      </w:r>
      <w:r>
        <w:t xml:space="preserve"> 1964 the governing body of New College </w:t>
      </w:r>
      <w:r w:rsidR="00ED293A">
        <w:t>excited and outraged fellow Fellows by passing</w:t>
      </w:r>
      <w:r>
        <w:t xml:space="preserve"> a resolution declaring a wish to a</w:t>
      </w:r>
      <w:r w:rsidR="0025396E">
        <w:t>mend its statutes to permit admission of women.  In the previous term the members of the Junior Common Room at New College had voted by a 2</w:t>
      </w:r>
      <w:r w:rsidR="00ED293A">
        <w:t>:1 majority to admit women.</w:t>
      </w:r>
      <w:r w:rsidR="00BE1064">
        <w:t xml:space="preserve"> </w:t>
      </w:r>
      <w:r w:rsidR="0025396E">
        <w:lastRenderedPageBreak/>
        <w:t>Expansion options two and three were pushed int</w:t>
      </w:r>
      <w:r w:rsidR="00EA6A39">
        <w:t xml:space="preserve">o the background.   </w:t>
      </w:r>
      <w:r w:rsidR="000B279A">
        <w:t>In 1971</w:t>
      </w:r>
      <w:r w:rsidR="00EA6A39">
        <w:t>,</w:t>
      </w:r>
      <w:r w:rsidR="0025396E">
        <w:t xml:space="preserve"> eighteen Oxford colleges met to discuss </w:t>
      </w:r>
      <w:r w:rsidR="00980724">
        <w:t xml:space="preserve">increasing </w:t>
      </w:r>
      <w:r w:rsidR="0025396E">
        <w:t>the admission of women and how to go a</w:t>
      </w:r>
      <w:r w:rsidR="00FE433D">
        <w:t>bout doing so</w:t>
      </w:r>
      <w:r w:rsidR="0025396E">
        <w:t xml:space="preserve"> (</w:t>
      </w:r>
      <w:r w:rsidR="00EA77A9">
        <w:t>Hicks 2004</w:t>
      </w:r>
      <w:r w:rsidR="000B279A">
        <w:t xml:space="preserve">, </w:t>
      </w:r>
      <w:r w:rsidR="00EA77A9">
        <w:t>Ferdinand 2015</w:t>
      </w:r>
      <w:r w:rsidR="0025396E">
        <w:t>).</w:t>
      </w:r>
      <w:r w:rsidR="00EA6A39">
        <w:t xml:space="preserve">  Finally, in 1974 </w:t>
      </w:r>
      <w:r w:rsidR="00802D0B">
        <w:t>Brasenose</w:t>
      </w:r>
      <w:r w:rsidR="00EA6A39">
        <w:t xml:space="preserve">, Hertford, </w:t>
      </w:r>
      <w:r w:rsidR="00966398">
        <w:t>Jesus, St. Catherine’s, and Wadham offer</w:t>
      </w:r>
      <w:r w:rsidR="00D75874">
        <w:t xml:space="preserve">ed one hundred places to women. </w:t>
      </w:r>
      <w:r w:rsidR="00D75874">
        <w:rPr>
          <w:rStyle w:val="FootnoteReference"/>
        </w:rPr>
        <w:footnoteReference w:id="10"/>
      </w:r>
      <w:r w:rsidR="00966398">
        <w:t xml:space="preserve"> A moratorium was placed on </w:t>
      </w:r>
      <w:r w:rsidR="00867430">
        <w:t xml:space="preserve">further </w:t>
      </w:r>
      <w:r w:rsidR="00966398">
        <w:t>coresidence for five years and</w:t>
      </w:r>
      <w:r w:rsidR="00173C5C">
        <w:t>,</w:t>
      </w:r>
      <w:r w:rsidR="00966398">
        <w:t xml:space="preserve"> </w:t>
      </w:r>
      <w:r w:rsidR="007B1116">
        <w:t>reportedly</w:t>
      </w:r>
      <w:r w:rsidR="00173C5C">
        <w:t>,</w:t>
      </w:r>
      <w:r w:rsidR="007B1116">
        <w:t xml:space="preserve"> the University wished to proceed cautiously with coresidence but some colleges were reluctant to do so and </w:t>
      </w:r>
      <w:r w:rsidR="00966398">
        <w:t>in 1</w:t>
      </w:r>
      <w:r w:rsidR="00F07D00">
        <w:t>979</w:t>
      </w:r>
      <w:r w:rsidR="00966398">
        <w:t xml:space="preserve"> a further thirteen men’s colleges admitted female students</w:t>
      </w:r>
      <w:r w:rsidR="00EA77A9">
        <w:t xml:space="preserve"> (Ferdinand 2015</w:t>
      </w:r>
      <w:r w:rsidR="007B1116">
        <w:t>).</w:t>
      </w:r>
      <w:r w:rsidR="00966398">
        <w:t xml:space="preserve">  </w:t>
      </w:r>
      <w:r w:rsidR="00C5166E">
        <w:t>There followed what M. McKendrick of Cambridge colourfully described as “a lemming-like rush towards the seas of coresidence” (quoted in Dyhouse 2002:295)</w:t>
      </w:r>
      <w:r w:rsidR="00DC07B5">
        <w:t xml:space="preserve">. </w:t>
      </w:r>
      <w:r w:rsidR="00966398">
        <w:t>The last male college to adm</w:t>
      </w:r>
      <w:r w:rsidR="00D75874">
        <w:t xml:space="preserve">it women, Oriel, did so in 1985 and </w:t>
      </w:r>
      <w:r w:rsidR="00FE433D">
        <w:t xml:space="preserve">the last </w:t>
      </w:r>
      <w:r w:rsidR="00652E7F">
        <w:t xml:space="preserve">private permanent </w:t>
      </w:r>
      <w:r w:rsidR="00FE433D">
        <w:t xml:space="preserve">hall of residence, St. Benet’s Hall, </w:t>
      </w:r>
      <w:r w:rsidR="00BE1064">
        <w:t>a</w:t>
      </w:r>
      <w:r w:rsidR="00652E7F">
        <w:t>dmit</w:t>
      </w:r>
      <w:r w:rsidR="00BE1064">
        <w:t>ted</w:t>
      </w:r>
      <w:r w:rsidR="00652E7F">
        <w:t xml:space="preserve"> women </w:t>
      </w:r>
      <w:r w:rsidR="00EA77A9">
        <w:t xml:space="preserve">in </w:t>
      </w:r>
      <w:r w:rsidR="00BE1064">
        <w:t>2016</w:t>
      </w:r>
      <w:r w:rsidR="00652E7F">
        <w:t>.</w:t>
      </w:r>
      <w:r w:rsidR="00FE433D">
        <w:t xml:space="preserve">  The</w:t>
      </w:r>
      <w:r w:rsidR="00D75874">
        <w:t xml:space="preserve"> last women’s college to admit men, St. Hilda’s, did so in 2008.</w:t>
      </w:r>
    </w:p>
    <w:p w14:paraId="20B66FD5" w14:textId="57FA2354" w:rsidR="00293246" w:rsidRDefault="00615FBD" w:rsidP="00116124">
      <w:pPr>
        <w:spacing w:line="480" w:lineRule="auto"/>
      </w:pPr>
      <w:r>
        <w:t>Despite over a decade of often heated debate over the admission of women to men’s colleges, t</w:t>
      </w:r>
      <w:r w:rsidR="00C616CC">
        <w:t xml:space="preserve">wenty years after coresidence, Janet Howarth </w:t>
      </w:r>
      <w:r w:rsidR="00293246">
        <w:t>(1994</w:t>
      </w:r>
      <w:r w:rsidR="00D9768D">
        <w:t>a</w:t>
      </w:r>
      <w:r w:rsidR="00293246">
        <w:t xml:space="preserve">: 375) </w:t>
      </w:r>
      <w:r w:rsidR="00C616CC">
        <w:t xml:space="preserve">wrote “Its consequences remain to be investigated.” </w:t>
      </w:r>
      <w:r w:rsidR="00FC11F4">
        <w:t>In the ensuing twenty years the</w:t>
      </w:r>
      <w:r>
        <w:t xml:space="preserve"> impact of </w:t>
      </w:r>
      <w:r w:rsidR="00FC11F4">
        <w:t xml:space="preserve">coresidence </w:t>
      </w:r>
      <w:r>
        <w:t xml:space="preserve">has been mentioned in histories of </w:t>
      </w:r>
      <w:r w:rsidR="00FC11F4">
        <w:t>particular women’s colleges but surprisingly there has been no attempt that we are aware of to quantitatively test the numerous claims for and against coresidence, in particular, whether there was a reduction in the representation of female academics and a weakening in the academic standing of the women’s colleges</w:t>
      </w:r>
      <w:r w:rsidR="00903AF7">
        <w:t>.</w:t>
      </w:r>
    </w:p>
    <w:p w14:paraId="11ECF35B" w14:textId="29230A9A" w:rsidR="00C616CC" w:rsidRDefault="00652E7F" w:rsidP="00116124">
      <w:pPr>
        <w:spacing w:line="480" w:lineRule="auto"/>
      </w:pPr>
      <w:r>
        <w:t>The aim of this paper is to</w:t>
      </w:r>
      <w:r w:rsidR="0025396E">
        <w:t xml:space="preserve"> present </w:t>
      </w:r>
      <w:r w:rsidR="00E01158">
        <w:t xml:space="preserve">and evaluate </w:t>
      </w:r>
      <w:r w:rsidR="0025396E">
        <w:t xml:space="preserve">the often competing claims that were made at the time about the impact </w:t>
      </w:r>
      <w:r w:rsidR="00615FBD">
        <w:t xml:space="preserve">of coresidence </w:t>
      </w:r>
      <w:r w:rsidR="0025396E">
        <w:t>on t</w:t>
      </w:r>
      <w:r>
        <w:t>he colleges and female</w:t>
      </w:r>
      <w:r w:rsidR="00615FBD">
        <w:t xml:space="preserve"> </w:t>
      </w:r>
      <w:r w:rsidR="00BE1064">
        <w:t xml:space="preserve">students and </w:t>
      </w:r>
      <w:r w:rsidR="00615FBD">
        <w:t>academics.</w:t>
      </w:r>
    </w:p>
    <w:p w14:paraId="405A7CE7" w14:textId="77777777" w:rsidR="00BE1064" w:rsidRDefault="00BE1064" w:rsidP="00116124">
      <w:pPr>
        <w:spacing w:line="480" w:lineRule="auto"/>
        <w:rPr>
          <w:b/>
        </w:rPr>
      </w:pPr>
    </w:p>
    <w:p w14:paraId="4A40ADA5" w14:textId="77777777" w:rsidR="00EF60B5" w:rsidRDefault="00EF60B5" w:rsidP="00116124">
      <w:pPr>
        <w:spacing w:line="480" w:lineRule="auto"/>
        <w:rPr>
          <w:b/>
        </w:rPr>
      </w:pPr>
      <w:r>
        <w:rPr>
          <w:b/>
        </w:rPr>
        <w:lastRenderedPageBreak/>
        <w:t>Claims of the Impact of Coresidence</w:t>
      </w:r>
    </w:p>
    <w:p w14:paraId="2E5266A3" w14:textId="77777777" w:rsidR="00867430" w:rsidRPr="004A2E1A" w:rsidRDefault="00722E13" w:rsidP="00116124">
      <w:pPr>
        <w:spacing w:line="480" w:lineRule="auto"/>
      </w:pPr>
      <w:r>
        <w:t xml:space="preserve">Hypothesis 1: </w:t>
      </w:r>
      <w:r w:rsidR="00867430" w:rsidRPr="004A2E1A">
        <w:rPr>
          <w:i/>
        </w:rPr>
        <w:t xml:space="preserve">Coresidence </w:t>
      </w:r>
      <w:r w:rsidR="002B0240">
        <w:rPr>
          <w:i/>
        </w:rPr>
        <w:t>would increase</w:t>
      </w:r>
      <w:r w:rsidR="00867430" w:rsidRPr="004A2E1A">
        <w:rPr>
          <w:i/>
        </w:rPr>
        <w:t xml:space="preserve"> the </w:t>
      </w:r>
      <w:r w:rsidR="007322A3">
        <w:rPr>
          <w:i/>
        </w:rPr>
        <w:t>percentage</w:t>
      </w:r>
      <w:r w:rsidR="00675911">
        <w:rPr>
          <w:i/>
        </w:rPr>
        <w:t xml:space="preserve"> </w:t>
      </w:r>
      <w:r w:rsidR="00867430" w:rsidRPr="004A2E1A">
        <w:rPr>
          <w:i/>
        </w:rPr>
        <w:t>of female students</w:t>
      </w:r>
    </w:p>
    <w:p w14:paraId="21849B1D" w14:textId="7929A04E" w:rsidR="00722E13" w:rsidRDefault="00867430" w:rsidP="00116124">
      <w:pPr>
        <w:spacing w:line="480" w:lineRule="auto"/>
      </w:pPr>
      <w:r>
        <w:t xml:space="preserve">Did coresidence result in a </w:t>
      </w:r>
      <w:r w:rsidR="007322A3">
        <w:t>percentage</w:t>
      </w:r>
      <w:r>
        <w:t xml:space="preserve"> of female students than would have been the case </w:t>
      </w:r>
      <w:r w:rsidR="004A2E1A">
        <w:t>without coresidence?</w:t>
      </w:r>
      <w:r>
        <w:t xml:space="preserve">  Richards (2015:92) claimed that coresidence</w:t>
      </w:r>
      <w:r w:rsidR="004A2E1A">
        <w:t xml:space="preserve"> </w:t>
      </w:r>
      <w:r>
        <w:t xml:space="preserve">”greatly increased the number of women undergraduates and their self-confidence in the mixed colleges….the admission of women was a great success.  Few revolutions have been so happy and successful.”  </w:t>
      </w:r>
      <w:r w:rsidR="007322A3">
        <w:t>W</w:t>
      </w:r>
      <w:r w:rsidR="00722E13">
        <w:t xml:space="preserve">e will determine whether coresidence led to a greater </w:t>
      </w:r>
      <w:r w:rsidR="007322A3">
        <w:t>percentage</w:t>
      </w:r>
      <w:r w:rsidR="00722E13">
        <w:t xml:space="preserve"> of women attending Oxford than would otherwise have been the case by examining female enrollment after events of coresidence</w:t>
      </w:r>
      <w:r w:rsidR="0061666A">
        <w:t>.</w:t>
      </w:r>
      <w:r w:rsidR="00722E13">
        <w:t xml:space="preserve">  </w:t>
      </w:r>
    </w:p>
    <w:p w14:paraId="773F6E1D" w14:textId="77777777" w:rsidR="00867430" w:rsidRDefault="004A2E1A" w:rsidP="00116124">
      <w:pPr>
        <w:spacing w:line="480" w:lineRule="auto"/>
      </w:pPr>
      <w:r>
        <w:t xml:space="preserve">The claim of a “successful” revolution is harder to evaluate because so many competing claims were made regarding the intended </w:t>
      </w:r>
      <w:r w:rsidR="00627170">
        <w:t>and unintended consequences of c</w:t>
      </w:r>
      <w:r>
        <w:t>oresidence.  It is to these claims that we now turn.</w:t>
      </w:r>
    </w:p>
    <w:p w14:paraId="577052C8" w14:textId="77777777" w:rsidR="00E01158" w:rsidRPr="00E01158" w:rsidRDefault="007322A3" w:rsidP="00116124">
      <w:pPr>
        <w:spacing w:line="480" w:lineRule="auto"/>
        <w:rPr>
          <w:i/>
        </w:rPr>
      </w:pPr>
      <w:r>
        <w:t xml:space="preserve">Hypothesis 2: </w:t>
      </w:r>
      <w:r w:rsidR="00E01158">
        <w:rPr>
          <w:i/>
        </w:rPr>
        <w:t xml:space="preserve">There were many “high caliber” female students who were unable to gain admission </w:t>
      </w:r>
      <w:r w:rsidR="00645DF8">
        <w:rPr>
          <w:i/>
        </w:rPr>
        <w:t xml:space="preserve">to the University. </w:t>
      </w:r>
    </w:p>
    <w:p w14:paraId="0B24B36D" w14:textId="1E9616AA" w:rsidR="00645DF8" w:rsidRDefault="00E01158" w:rsidP="00E01158">
      <w:pPr>
        <w:spacing w:line="480" w:lineRule="auto"/>
      </w:pPr>
      <w:r>
        <w:t>Brockliss claimed that “there was no difficulty in recruit</w:t>
      </w:r>
      <w:r w:rsidR="007322A3">
        <w:t>ing more women of high calibre”.</w:t>
      </w:r>
      <w:r>
        <w:t xml:space="preserve">  </w:t>
      </w:r>
      <w:r w:rsidR="00645DF8">
        <w:t>Dr. Pirie of New College (Pirie 1965:321) asserted that there “are many more</w:t>
      </w:r>
      <w:r w:rsidR="00D317B4">
        <w:t xml:space="preserve"> girls than places”</w:t>
      </w:r>
      <w:r w:rsidR="00645DF8">
        <w:t xml:space="preserve"> and an editorial in the Oxford Magazine (1964) agreed.</w:t>
      </w:r>
      <w:r w:rsidR="00D317B4">
        <w:rPr>
          <w:rStyle w:val="FootnoteReference"/>
        </w:rPr>
        <w:footnoteReference w:id="11"/>
      </w:r>
      <w:r w:rsidR="00645DF8">
        <w:t xml:space="preserve">  However, </w:t>
      </w:r>
      <w:r>
        <w:t>Margaret Hubbard a Fellow of St. Anne’s from 1957 to 1986, was skeptical.  Hubbard pointed out that in 1961 only 4.9% of girls took two or more A-levels compared to 8.1% of boys.  The challenge of finding adequately prepared girls was particularly difficult in the sciences, math, and classics.  Hubbard (1965: 312) claimed that finding adequate numbers of women would mean “accepting applicants me</w:t>
      </w:r>
      <w:r w:rsidR="00D324C7">
        <w:t>n’s colleges would deem ‘a hair</w:t>
      </w:r>
      <w:r>
        <w:t>–raising risk’”.</w:t>
      </w:r>
      <w:r w:rsidRPr="00983FAE">
        <w:t xml:space="preserve"> </w:t>
      </w:r>
      <w:r>
        <w:t xml:space="preserve"> </w:t>
      </w:r>
      <w:r w:rsidR="00980724">
        <w:t xml:space="preserve">Lucy Sutherland, Principal of Lady Margaret Hall, </w:t>
      </w:r>
      <w:r w:rsidR="00DC07B5">
        <w:t xml:space="preserve">was skeptical about attracting more able women because </w:t>
      </w:r>
      <w:r w:rsidR="00DC07B5">
        <w:lastRenderedPageBreak/>
        <w:t xml:space="preserve">their professional interests were in infant and primary teaching and other non-graduate occupations and their personal interest was towards early marriage (Dyhouse 2002:291-292).  </w:t>
      </w:r>
      <w:r>
        <w:t>Janet Vaughan, Principal of Somerville College from 1945 to 1967, thought increasing the number of women at Oxford would benef</w:t>
      </w:r>
      <w:r w:rsidR="00263273">
        <w:t>it the University and the world</w:t>
      </w:r>
      <w:r w:rsidR="00173C5C">
        <w:t xml:space="preserve"> </w:t>
      </w:r>
      <w:r>
        <w:t xml:space="preserve">although she was “prepared to hazard a guess </w:t>
      </w:r>
      <w:r w:rsidR="007403A7">
        <w:t>t</w:t>
      </w:r>
      <w:r>
        <w:t xml:space="preserve">hat [increasing the number of women] might lead to an increase of women in the Third Class” (Vaughan 1964:24). </w:t>
      </w:r>
      <w:r w:rsidR="00F142E6">
        <w:rPr>
          <w:rStyle w:val="FootnoteReference"/>
        </w:rPr>
        <w:footnoteReference w:id="12"/>
      </w:r>
      <w:r>
        <w:t xml:space="preserve"> </w:t>
      </w:r>
      <w:r w:rsidR="004451EC">
        <w:t>Rosemary Murray, the president</w:t>
      </w:r>
      <w:r w:rsidR="00DC07B5">
        <w:t xml:space="preserve"> of New Hall at Cambridge, </w:t>
      </w:r>
      <w:r w:rsidR="004451EC">
        <w:t>also</w:t>
      </w:r>
      <w:r w:rsidR="00DC07B5">
        <w:t xml:space="preserve"> believed that the pool of able women was limited and consequently argued for a slow increase in the admission of women to Cambridge (Dyhouse 2002: 295).</w:t>
      </w:r>
    </w:p>
    <w:p w14:paraId="1A041E3D" w14:textId="6A768447" w:rsidR="00E01158" w:rsidRDefault="00645DF8" w:rsidP="00E01158">
      <w:pPr>
        <w:spacing w:line="480" w:lineRule="auto"/>
      </w:pPr>
      <w:r>
        <w:t>I</w:t>
      </w:r>
      <w:r w:rsidR="00E01158">
        <w:t xml:space="preserve">f </w:t>
      </w:r>
      <w:r>
        <w:t>the average entrance scores</w:t>
      </w:r>
      <w:r w:rsidR="00D324C7">
        <w:t>, most commonly measured by A-levels</w:t>
      </w:r>
      <w:r w:rsidR="00BE1064">
        <w:t xml:space="preserve"> or examination results</w:t>
      </w:r>
      <w:r w:rsidR="00D324C7">
        <w:t xml:space="preserve">, </w:t>
      </w:r>
      <w:r>
        <w:t xml:space="preserve">of women after coresidence were no lower than before then Brockliss and Pirie are correct.  If scores fell then Hubbard and Vaughan were correct. </w:t>
      </w:r>
    </w:p>
    <w:p w14:paraId="2B08C222" w14:textId="77777777" w:rsidR="00A972D6" w:rsidRDefault="007322A3" w:rsidP="00116124">
      <w:pPr>
        <w:spacing w:line="480" w:lineRule="auto"/>
        <w:rPr>
          <w:i/>
        </w:rPr>
      </w:pPr>
      <w:r>
        <w:t xml:space="preserve">Hypothesis 3: </w:t>
      </w:r>
      <w:r w:rsidR="00A972D6">
        <w:rPr>
          <w:i/>
        </w:rPr>
        <w:t>The women’s colleges would lose their best stude</w:t>
      </w:r>
      <w:r w:rsidR="008B00E1">
        <w:rPr>
          <w:i/>
        </w:rPr>
        <w:t xml:space="preserve">nts to the </w:t>
      </w:r>
      <w:r>
        <w:rPr>
          <w:i/>
        </w:rPr>
        <w:t>mixed</w:t>
      </w:r>
      <w:r w:rsidR="008B00E1">
        <w:rPr>
          <w:i/>
        </w:rPr>
        <w:t xml:space="preserve"> colleges and those colleges would replace “low caliber” men with “higher caliber” women.</w:t>
      </w:r>
    </w:p>
    <w:p w14:paraId="0A0C6021" w14:textId="07D31F6F" w:rsidR="00E42FE9" w:rsidRDefault="00442856" w:rsidP="00116124">
      <w:pPr>
        <w:spacing w:line="480" w:lineRule="auto"/>
      </w:pPr>
      <w:r>
        <w:t>Although it was possible that the admission of more women would draw</w:t>
      </w:r>
      <w:r w:rsidR="00C35042">
        <w:t xml:space="preserve"> solely from the “reserve army” of high caliber women who had previously been excluded from Oxford, the women’s colleges believed that they would be, at least in part, a source of women for the </w:t>
      </w:r>
      <w:r w:rsidR="00D324C7">
        <w:t>mixed</w:t>
      </w:r>
      <w:r w:rsidR="00C35042">
        <w:t xml:space="preserve"> colleges.  </w:t>
      </w:r>
      <w:r w:rsidR="008B00E1">
        <w:t xml:space="preserve">Ferdinand (2015) noted that the women’s colleges feared that the best female students would gravitate towards the better-endowed men’s colleges </w:t>
      </w:r>
      <w:r w:rsidR="00DD0B5A">
        <w:t>which, because of their greater wealth, were able to offer larger scholarships to s</w:t>
      </w:r>
      <w:r w:rsidR="00BE1064">
        <w:t>tudents and higher salaries to f</w:t>
      </w:r>
      <w:r w:rsidR="00DD0B5A">
        <w:t>ellows.</w:t>
      </w:r>
      <w:r w:rsidR="00DD0B5A">
        <w:rPr>
          <w:rStyle w:val="FootnoteReference"/>
        </w:rPr>
        <w:footnoteReference w:id="13"/>
      </w:r>
      <w:r w:rsidR="00DD0B5A">
        <w:t xml:space="preserve"> These bright women would replace less able men.  T</w:t>
      </w:r>
      <w:r w:rsidR="00F142E6">
        <w:t xml:space="preserve">he </w:t>
      </w:r>
      <w:r w:rsidR="00F142E6">
        <w:lastRenderedPageBreak/>
        <w:t>principal of St Hilda’s described this as “th</w:t>
      </w:r>
      <w:r w:rsidR="00AA78B8">
        <w:t xml:space="preserve">e </w:t>
      </w:r>
      <w:r w:rsidR="00F142E6">
        <w:t>stupid-men-out-clever</w:t>
      </w:r>
      <w:r w:rsidR="00EC26EA">
        <w:t>-girl-in-argument” (Dyhouse 2003</w:t>
      </w:r>
      <w:r w:rsidR="00F142E6">
        <w:t>:</w:t>
      </w:r>
      <w:r w:rsidR="008078AC">
        <w:t xml:space="preserve"> </w:t>
      </w:r>
      <w:r w:rsidR="00F142E6">
        <w:t>177).</w:t>
      </w:r>
      <w:r w:rsidR="00AA78B8">
        <w:t xml:space="preserve">  </w:t>
      </w:r>
      <w:r w:rsidR="00E42FE9">
        <w:t xml:space="preserve">Dyhouse (2004:174) </w:t>
      </w:r>
      <w:r w:rsidR="00F142E6">
        <w:t>observed that mixed colleges quickly gained po</w:t>
      </w:r>
      <w:r w:rsidR="00AA78B8">
        <w:t>p</w:t>
      </w:r>
      <w:r w:rsidR="00F142E6">
        <w:t>ularity am</w:t>
      </w:r>
      <w:r w:rsidR="00AA78B8">
        <w:t>o</w:t>
      </w:r>
      <w:r w:rsidR="00F142E6">
        <w:t>ng male students and the “academic quality of their entrants improved”. Thus “women students, once an embarrassment, ha</w:t>
      </w:r>
      <w:r w:rsidR="00DD0B5A">
        <w:t>d become both resource and bait</w:t>
      </w:r>
      <w:r w:rsidR="00F142E6">
        <w:t>”</w:t>
      </w:r>
      <w:r w:rsidR="005B6056">
        <w:t>.</w:t>
      </w:r>
      <w:r w:rsidR="00DD0B5A">
        <w:t xml:space="preserve"> </w:t>
      </w:r>
    </w:p>
    <w:p w14:paraId="17D09A4C" w14:textId="00473C7E" w:rsidR="008078AC" w:rsidRDefault="00442856" w:rsidP="008078AC">
      <w:pPr>
        <w:spacing w:line="480" w:lineRule="auto"/>
      </w:pPr>
      <w:r>
        <w:t xml:space="preserve">It may be that the “best” women </w:t>
      </w:r>
      <w:r w:rsidR="00F142E6">
        <w:t xml:space="preserve">(and men) </w:t>
      </w:r>
      <w:r>
        <w:t>had a stronger p</w:t>
      </w:r>
      <w:r w:rsidR="00A972D6">
        <w:t>reference</w:t>
      </w:r>
      <w:r>
        <w:t xml:space="preserve"> for residing in and being taught in a coeducational setting </w:t>
      </w:r>
      <w:r w:rsidR="003063EF">
        <w:t xml:space="preserve">and if Oxford did not adopt coresidence it </w:t>
      </w:r>
      <w:r w:rsidR="00DC7DE3">
        <w:t>would</w:t>
      </w:r>
      <w:r w:rsidR="003063EF">
        <w:t xml:space="preserve"> lose bright students of both sexes to other universities.  </w:t>
      </w:r>
      <w:r w:rsidR="008078AC">
        <w:t xml:space="preserve">There is some evidence to support this preferences argument.  </w:t>
      </w:r>
      <w:r w:rsidR="003063EF">
        <w:t xml:space="preserve">Dyhouse (2002:293) cites evidence that Oxford was attracting fewer male applicants per place than many other </w:t>
      </w:r>
      <w:r w:rsidR="008078AC">
        <w:t xml:space="preserve">British universities and an early report on post-coresidence admissions </w:t>
      </w:r>
      <w:r w:rsidR="00D324C7">
        <w:t>found</w:t>
      </w:r>
      <w:r w:rsidR="008078AC">
        <w:t xml:space="preserve"> an almost 25 percent drop in applications to the women’s colleges (Carritt cited in Hicks 2004</w:t>
      </w:r>
      <w:r w:rsidR="00D3078B">
        <w:t>)</w:t>
      </w:r>
      <w:r w:rsidR="008078AC">
        <w:t xml:space="preserve">.  </w:t>
      </w:r>
    </w:p>
    <w:p w14:paraId="22562FEA" w14:textId="470203E8" w:rsidR="00D3078B" w:rsidRDefault="00442856" w:rsidP="0011722E">
      <w:pPr>
        <w:spacing w:line="480" w:lineRule="auto"/>
      </w:pPr>
      <w:r>
        <w:t xml:space="preserve">But was it the case that the brightest women were more likely to apply and be admitted to the </w:t>
      </w:r>
      <w:r w:rsidR="00D324C7">
        <w:t>newly mixed</w:t>
      </w:r>
      <w:r>
        <w:t xml:space="preserve"> </w:t>
      </w:r>
      <w:r w:rsidR="00D324C7">
        <w:t xml:space="preserve">former </w:t>
      </w:r>
      <w:r>
        <w:t>men’</w:t>
      </w:r>
      <w:r w:rsidR="00C35042">
        <w:t>s colleges to replace low caliber males</w:t>
      </w:r>
      <w:r w:rsidR="00D3078B">
        <w:t xml:space="preserve">?  If </w:t>
      </w:r>
      <w:r w:rsidR="00C35042">
        <w:t xml:space="preserve">this claim is true the average admission scores </w:t>
      </w:r>
      <w:r w:rsidR="006871BD">
        <w:t xml:space="preserve">and examination results </w:t>
      </w:r>
      <w:r w:rsidR="00C35042">
        <w:t xml:space="preserve">of female applicants to the </w:t>
      </w:r>
      <w:r w:rsidR="007322A3">
        <w:t>mixed</w:t>
      </w:r>
      <w:r w:rsidR="00C35042">
        <w:t xml:space="preserve"> </w:t>
      </w:r>
      <w:r w:rsidR="00D324C7">
        <w:t>colleges would have exceeded those</w:t>
      </w:r>
      <w:r w:rsidR="00C35042">
        <w:t xml:space="preserve"> of the women’s colleges and the average scores </w:t>
      </w:r>
      <w:r w:rsidR="006871BD">
        <w:t xml:space="preserve">and examination results </w:t>
      </w:r>
      <w:r w:rsidR="00C35042">
        <w:t xml:space="preserve">of all students at the coresidence colleges would </w:t>
      </w:r>
      <w:r w:rsidR="00DC7DE3">
        <w:t xml:space="preserve">have </w:t>
      </w:r>
      <w:r w:rsidR="00C35042">
        <w:t>increase</w:t>
      </w:r>
      <w:r w:rsidR="00DC7DE3">
        <w:t>d</w:t>
      </w:r>
      <w:r w:rsidR="00C35042">
        <w:t xml:space="preserve">.  </w:t>
      </w:r>
      <w:r w:rsidR="00B81399">
        <w:t>If the “reallocation of bright women” argument is correct</w:t>
      </w:r>
      <w:r w:rsidR="00263273">
        <w:t>,</w:t>
      </w:r>
      <w:r w:rsidR="00B81399">
        <w:t xml:space="preserve"> then the average entrance scores </w:t>
      </w:r>
      <w:r w:rsidR="006871BD">
        <w:t xml:space="preserve">and examination results </w:t>
      </w:r>
      <w:r w:rsidR="00B81399">
        <w:t xml:space="preserve">of women at the women’s colleges </w:t>
      </w:r>
      <w:r w:rsidR="00DE78A2">
        <w:t>should fall (unless they could draw equally bright women from the genera</w:t>
      </w:r>
      <w:r w:rsidR="008078AC">
        <w:t>l</w:t>
      </w:r>
      <w:r w:rsidR="00DE78A2">
        <w:t xml:space="preserve"> pool of applicants).  If the scores </w:t>
      </w:r>
      <w:r w:rsidR="006871BD">
        <w:t xml:space="preserve">and examination results </w:t>
      </w:r>
      <w:r w:rsidR="00DE78A2">
        <w:t>did not fall it implies that the coresidence colleges drew female students from the “reserve army” of high caliber women</w:t>
      </w:r>
      <w:r w:rsidR="00D3078B">
        <w:t xml:space="preserve">.  </w:t>
      </w:r>
    </w:p>
    <w:p w14:paraId="3C4E066E" w14:textId="77777777" w:rsidR="006E596F" w:rsidRDefault="00675911" w:rsidP="0011722E">
      <w:pPr>
        <w:spacing w:line="480" w:lineRule="auto"/>
      </w:pPr>
      <w:r>
        <w:t xml:space="preserve">Hypothesis 4: </w:t>
      </w:r>
      <w:r w:rsidR="006E596F">
        <w:rPr>
          <w:i/>
        </w:rPr>
        <w:t>Coresidence was Bad for Female Academics</w:t>
      </w:r>
    </w:p>
    <w:p w14:paraId="1859902A" w14:textId="1DFDAAA5" w:rsidR="00F023D6" w:rsidRDefault="005B28DE" w:rsidP="00AA78B8">
      <w:pPr>
        <w:spacing w:line="480" w:lineRule="auto"/>
      </w:pPr>
      <w:r>
        <w:t xml:space="preserve">Janet Vaughan of Somerville argued that if coresidence was adopted it should include the appointment of female academics and administrators at men’s colleges.  </w:t>
      </w:r>
      <w:r w:rsidR="00D0690F">
        <w:t xml:space="preserve">Mary Warnock of St. Hugh’s supported increasing the number of women at Oxford but opposed coresidence which, she believed, would not </w:t>
      </w:r>
      <w:r w:rsidR="00D0690F">
        <w:lastRenderedPageBreak/>
        <w:t xml:space="preserve">help the cause of women as a whole and may do it positive harm in the long-run.  She had particular concerns about the impact of coresidence on female </w:t>
      </w:r>
      <w:r w:rsidR="003646EA">
        <w:t>f</w:t>
      </w:r>
      <w:r w:rsidR="00D0690F">
        <w:t xml:space="preserve">ellows.  </w:t>
      </w:r>
      <w:r w:rsidR="00014A23">
        <w:t xml:space="preserve">By preferring qualified female candidates to men, the existence of women’s colleges led to a higher percentage of female faculty at Oxford than the </w:t>
      </w:r>
      <w:r w:rsidR="00D3078B">
        <w:t>national average (Hicks</w:t>
      </w:r>
      <w:r w:rsidR="005B6056">
        <w:t xml:space="preserve"> 2004</w:t>
      </w:r>
      <w:r w:rsidR="00D3078B">
        <w:t>: 245</w:t>
      </w:r>
      <w:r w:rsidR="00014A23">
        <w:t>).  Warnock</w:t>
      </w:r>
      <w:r w:rsidR="00D0690F">
        <w:t xml:space="preserve"> foresaw “a time when every coll</w:t>
      </w:r>
      <w:r w:rsidR="00DC7DE3">
        <w:t>ege will have its statutory woma</w:t>
      </w:r>
      <w:r w:rsidR="00D0690F">
        <w:t>n fellow, and no more” (Warnock 1972:6).  Warnock was not alone in fearing the i</w:t>
      </w:r>
      <w:r w:rsidR="00675911">
        <w:t>mpact of coresidence on female f</w:t>
      </w:r>
      <w:r w:rsidR="00D0690F">
        <w:t xml:space="preserve">ellows.  </w:t>
      </w:r>
      <w:r w:rsidR="006E596F">
        <w:t xml:space="preserve">In his recollections of the meeting between </w:t>
      </w:r>
      <w:r w:rsidR="00802D0B">
        <w:t>Brasenose</w:t>
      </w:r>
      <w:r w:rsidR="006E596F">
        <w:t xml:space="preserve"> and the heads of the women’s colleges, Graham Richards </w:t>
      </w:r>
      <w:r w:rsidR="006B6FC4">
        <w:t>rem</w:t>
      </w:r>
      <w:r w:rsidR="007C4B72">
        <w:t xml:space="preserve">arked “Lucy Sutherland, </w:t>
      </w:r>
      <w:r w:rsidR="00A40E05">
        <w:t>Principal</w:t>
      </w:r>
      <w:r w:rsidR="007C4B72">
        <w:t xml:space="preserve"> of L</w:t>
      </w:r>
      <w:r w:rsidR="006B6FC4">
        <w:t>ady Margaret Hall, in particular was totally opposed” because “her view was that the whole point of women’s colleges was to provide jobs for women academics.  The needs of undergraduate women were very much secondary”</w:t>
      </w:r>
      <w:r w:rsidR="007C4B72">
        <w:t xml:space="preserve"> </w:t>
      </w:r>
      <w:r w:rsidR="006B6FC4">
        <w:t xml:space="preserve">(Richards 2015:90). </w:t>
      </w:r>
      <w:r w:rsidR="000C5F9E">
        <w:t xml:space="preserve"> Whether this was the case or not, the women</w:t>
      </w:r>
      <w:r w:rsidR="0024078D">
        <w:t>’s colleges firmly believed that if the men’s colleges admitted women, they would hire very few women, and if the women’s colleges admitted men they would have to hire male academics and “if women academics had to compete with men for jobs, the prevailing prejudices would reduce their chances of academic employment” (Malkiel 2016: 549).</w:t>
      </w:r>
      <w:r w:rsidR="002F7F44">
        <w:t xml:space="preserve"> </w:t>
      </w:r>
      <w:r w:rsidR="00DC7DE3">
        <w:t xml:space="preserve">This view was shared by Elaine Griffiths of St. Anne’s who saw the role of women’s colleges as “preserv[ing] job opportunities for women academics who are otherwise strongly disadvantaged” (Smith 2012: 12).  </w:t>
      </w:r>
      <w:r w:rsidR="002F7F44">
        <w:t xml:space="preserve">It should be noted that coresidence was played out against a background of the Sex Discrimination Act of 1975 which </w:t>
      </w:r>
      <w:r w:rsidR="00DD1F7B">
        <w:t>made it illegal for the University to associate lectureships with a women’s college (Howarth 1994</w:t>
      </w:r>
      <w:r w:rsidR="00D9768D">
        <w:t>b</w:t>
      </w:r>
      <w:r w:rsidR="00DD1F7B">
        <w:t>).</w:t>
      </w:r>
    </w:p>
    <w:p w14:paraId="74C0A1CA" w14:textId="784FD6BC" w:rsidR="00014A23" w:rsidRDefault="00014A23" w:rsidP="0011722E">
      <w:pPr>
        <w:spacing w:line="480" w:lineRule="auto"/>
      </w:pPr>
      <w:r>
        <w:t>We will investigate whether coresidence resulted in an increase or decrease in the number o</w:t>
      </w:r>
      <w:r w:rsidR="00675911">
        <w:t>f female f</w:t>
      </w:r>
      <w:r>
        <w:t>ellows.  Did the newly coresident male colleges elect females dons?  Did the women’s colleges when they admitted</w:t>
      </w:r>
      <w:r w:rsidR="002733F0">
        <w:t xml:space="preserve"> male students also elect male f</w:t>
      </w:r>
      <w:r>
        <w:t>ellows?</w:t>
      </w:r>
      <w:r w:rsidR="009345D1">
        <w:t xml:space="preserve">  </w:t>
      </w:r>
      <w:r w:rsidR="003B0B56">
        <w:t>Early signs were not hopeful for women faculty: the newly mixed men’s colleges elected few fe</w:t>
      </w:r>
      <w:r w:rsidR="00675911">
        <w:t>male f</w:t>
      </w:r>
      <w:r w:rsidR="003B0B56">
        <w:t>ellows while some of the women’s colleges appointed a substanti</w:t>
      </w:r>
      <w:r w:rsidR="00D13353">
        <w:t>al number of men (Hicks 2004</w:t>
      </w:r>
      <w:r w:rsidR="00EC26EA">
        <w:t>, Dyhouse 2003</w:t>
      </w:r>
      <w:r w:rsidR="003B0B56">
        <w:t>).  But what was the longer-term outcome?</w:t>
      </w:r>
    </w:p>
    <w:p w14:paraId="1D0BA810" w14:textId="77777777" w:rsidR="009B64AC" w:rsidRDefault="00675911" w:rsidP="0011722E">
      <w:pPr>
        <w:spacing w:line="480" w:lineRule="auto"/>
        <w:rPr>
          <w:i/>
        </w:rPr>
      </w:pPr>
      <w:r>
        <w:lastRenderedPageBreak/>
        <w:t xml:space="preserve">Hypothesis 5: </w:t>
      </w:r>
      <w:r w:rsidR="009B64AC">
        <w:rPr>
          <w:i/>
        </w:rPr>
        <w:t>Coresidence and the Norrington Table</w:t>
      </w:r>
    </w:p>
    <w:p w14:paraId="633B3405" w14:textId="56FC8CAB" w:rsidR="00D13353" w:rsidRDefault="00675911" w:rsidP="0011722E">
      <w:pPr>
        <w:spacing w:line="480" w:lineRule="auto"/>
      </w:pPr>
      <w:r>
        <w:t xml:space="preserve">However much dons decry the attention paid to the Norrington Table, </w:t>
      </w:r>
      <w:r w:rsidR="00DC01C2">
        <w:t xml:space="preserve">in an increasingly competitive higher education environment reputation and rankings are important in attracting students, faculty, and financial resources </w:t>
      </w:r>
      <w:r>
        <w:t>(Hibbert 1988</w:t>
      </w:r>
      <w:r w:rsidR="00DC01C2">
        <w:t>, Rolfe 2003, Dill 2009, Monk and Ehrenberg 1999)</w:t>
      </w:r>
      <w:r>
        <w:t xml:space="preserve">.  </w:t>
      </w:r>
      <w:r w:rsidR="009B64AC">
        <w:t xml:space="preserve">Brockliss cited the potential for coresidence to boost a college’s rank as one factor in garnering support in the </w:t>
      </w:r>
      <w:r w:rsidR="002733F0">
        <w:t xml:space="preserve">men’s colleges </w:t>
      </w:r>
      <w:r w:rsidR="00DC7DE3">
        <w:t xml:space="preserve">and opposition </w:t>
      </w:r>
      <w:r w:rsidR="009B64AC">
        <w:t>from the women’</w:t>
      </w:r>
      <w:r w:rsidR="004A398D">
        <w:t xml:space="preserve">s colleges.  </w:t>
      </w:r>
    </w:p>
    <w:p w14:paraId="71478538" w14:textId="2062ADE0" w:rsidR="008078AC" w:rsidRDefault="00D13353" w:rsidP="0011722E">
      <w:pPr>
        <w:spacing w:line="480" w:lineRule="auto"/>
      </w:pPr>
      <w:r>
        <w:t>If the most academically able students preferred to reside in a mixed college then</w:t>
      </w:r>
      <w:r w:rsidR="008078AC">
        <w:t xml:space="preserve">, all else equal, </w:t>
      </w:r>
      <w:r w:rsidR="008C035F">
        <w:t>coresidence should be associated with an increase in a college’s Norrington rank.</w:t>
      </w:r>
      <w:r w:rsidR="008078AC">
        <w:t xml:space="preserve"> </w:t>
      </w:r>
    </w:p>
    <w:p w14:paraId="5FCEBAA4" w14:textId="142C4669" w:rsidR="004A2E1A" w:rsidRPr="004A2E1A" w:rsidRDefault="004A398D" w:rsidP="0011722E">
      <w:pPr>
        <w:spacing w:line="480" w:lineRule="auto"/>
        <w:rPr>
          <w:i/>
        </w:rPr>
      </w:pPr>
      <w:r>
        <w:t xml:space="preserve">Brockliss </w:t>
      </w:r>
      <w:r w:rsidR="00D13353">
        <w:t xml:space="preserve">(2016) </w:t>
      </w:r>
      <w:r>
        <w:t>state</w:t>
      </w:r>
      <w:r w:rsidR="008C035F">
        <w:t>d</w:t>
      </w:r>
      <w:r>
        <w:t xml:space="preserve"> that the women’s colleges consistently ranked at the top of the Norrington Table in the mid- to-late 1960s.  </w:t>
      </w:r>
      <w:r w:rsidR="00880A73">
        <w:t xml:space="preserve">The average rank of Lady Margaret Hall from 1964 to 1969 was </w:t>
      </w:r>
      <w:r w:rsidR="00CD3EC1">
        <w:t>11</w:t>
      </w:r>
      <w:r w:rsidR="00E13F35">
        <w:t xml:space="preserve"> out of 28</w:t>
      </w:r>
      <w:r w:rsidR="00CD3EC1">
        <w:t xml:space="preserve">, </w:t>
      </w:r>
      <w:r w:rsidR="00880A73">
        <w:t>for Somerville, St. Anne’s, St. Hilda’s, and St Hugh’s</w:t>
      </w:r>
      <w:r>
        <w:t xml:space="preserve"> </w:t>
      </w:r>
      <w:r w:rsidR="00CD3EC1">
        <w:t xml:space="preserve">6, 9, 8, and 14 </w:t>
      </w:r>
      <w:r w:rsidR="00880A73">
        <w:t xml:space="preserve">respectively </w:t>
      </w:r>
      <w:r>
        <w:t>(</w:t>
      </w:r>
      <w:r w:rsidR="008C035F">
        <w:t xml:space="preserve">based on data in </w:t>
      </w:r>
      <w:r>
        <w:t xml:space="preserve">Hibbert 1988: 281).  </w:t>
      </w:r>
      <w:r w:rsidR="00DC01C2">
        <w:t xml:space="preserve">After the last women’s college accepted men, the average rankings for the formerly women’s colleges from 2009 to 2013 were 24, </w:t>
      </w:r>
      <w:r w:rsidR="00150D2C">
        <w:t xml:space="preserve">24, 17, 21, and 19 respectively.  </w:t>
      </w:r>
      <w:r w:rsidR="008C035F">
        <w:t xml:space="preserve">We will investigate whether </w:t>
      </w:r>
      <w:r w:rsidR="00150D2C">
        <w:t xml:space="preserve">coresidence </w:t>
      </w:r>
      <w:r w:rsidR="008C035F">
        <w:t xml:space="preserve">was </w:t>
      </w:r>
      <w:r w:rsidR="007032A3">
        <w:t>associated with this decline.</w:t>
      </w:r>
      <w:r w:rsidR="00010874">
        <w:t xml:space="preserve">  </w:t>
      </w:r>
    </w:p>
    <w:p w14:paraId="18DB04D1" w14:textId="77777777" w:rsidR="00B8083C" w:rsidRDefault="00B8083C" w:rsidP="00B8083C">
      <w:pPr>
        <w:spacing w:line="480" w:lineRule="auto"/>
        <w:rPr>
          <w:b/>
        </w:rPr>
      </w:pPr>
      <w:r w:rsidRPr="00331E30">
        <w:rPr>
          <w:b/>
        </w:rPr>
        <w:t>The Research Design and Methods</w:t>
      </w:r>
    </w:p>
    <w:p w14:paraId="2554743C" w14:textId="77777777" w:rsidR="00B8083C" w:rsidRDefault="00B8083C" w:rsidP="00B8083C">
      <w:pPr>
        <w:spacing w:line="480" w:lineRule="auto"/>
      </w:pPr>
      <w:r w:rsidRPr="00331E30">
        <w:t>The research will us</w:t>
      </w:r>
      <w:r>
        <w:t>e</w:t>
      </w:r>
      <w:r w:rsidRPr="00331E30">
        <w:t xml:space="preserve"> data from the 28 colleges of the University of Oxford</w:t>
      </w:r>
      <w:r>
        <w:t xml:space="preserve"> </w:t>
      </w:r>
      <w:r w:rsidR="00150D2C">
        <w:t xml:space="preserve">that </w:t>
      </w:r>
      <w:r>
        <w:t>existing in 1964.  These colleges enrolled 91 percent of undergraduate students at the University of Oxford in 2015.</w:t>
      </w:r>
    </w:p>
    <w:p w14:paraId="60A75F4A" w14:textId="77777777" w:rsidR="00B8083C" w:rsidRDefault="00B8083C" w:rsidP="00B8083C">
      <w:pPr>
        <w:spacing w:line="480" w:lineRule="auto"/>
        <w:rPr>
          <w:b/>
        </w:rPr>
      </w:pPr>
      <w:r>
        <w:rPr>
          <w:b/>
        </w:rPr>
        <w:t>Methods</w:t>
      </w:r>
    </w:p>
    <w:p w14:paraId="0FFF74A0" w14:textId="5A76D08C" w:rsidR="00B8083C" w:rsidRPr="00C26C46" w:rsidRDefault="00B8083C" w:rsidP="00B8083C">
      <w:pPr>
        <w:spacing w:line="480" w:lineRule="auto"/>
      </w:pPr>
      <w:r>
        <w:t>To empirically investigate hypotheses</w:t>
      </w:r>
      <w:r w:rsidR="008C035F">
        <w:t xml:space="preserve"> </w:t>
      </w:r>
      <w:r w:rsidR="00170869">
        <w:t xml:space="preserve">H1, </w:t>
      </w:r>
      <w:r w:rsidR="008C035F">
        <w:t>H4</w:t>
      </w:r>
      <w:r w:rsidR="00170869">
        <w:t>,</w:t>
      </w:r>
      <w:r w:rsidR="008C035F">
        <w:t xml:space="preserve"> and</w:t>
      </w:r>
      <w:r w:rsidR="00D35F73">
        <w:t xml:space="preserve"> H</w:t>
      </w:r>
      <w:r>
        <w:t xml:space="preserve">5 we will use event analysis methods where the event of interest is the point in time when a college moves from single gender residence to co-residence.  Let </w:t>
      </w:r>
      <m:oMath>
        <m:sSubSup>
          <m:sSubSupPr>
            <m:ctrlPr>
              <w:rPr>
                <w:rFonts w:ascii="Cambria Math" w:hAnsi="Cambria Math"/>
                <w:i/>
              </w:rPr>
            </m:ctrlPr>
          </m:sSubSupPr>
          <m:e>
            <m:r>
              <w:rPr>
                <w:rFonts w:ascii="Cambria Math" w:hAnsi="Cambria Math"/>
              </w:rPr>
              <m:t>E</m:t>
            </m:r>
          </m:e>
          <m:sub>
            <m:r>
              <w:rPr>
                <w:rFonts w:ascii="Cambria Math" w:hAnsi="Cambria Math"/>
              </w:rPr>
              <m:t>ct</m:t>
            </m:r>
          </m:sub>
          <m:sup>
            <m:r>
              <w:rPr>
                <w:rFonts w:ascii="Cambria Math" w:hAnsi="Cambria Math"/>
              </w:rPr>
              <m:t>J</m:t>
            </m:r>
          </m:sup>
        </m:sSubSup>
      </m:oMath>
    </w:p>
    <w:p w14:paraId="5629D053" w14:textId="77777777" w:rsidR="00B8083C" w:rsidRDefault="00B8083C" w:rsidP="00B8083C">
      <w:pPr>
        <w:spacing w:line="480" w:lineRule="auto"/>
      </w:pPr>
      <w:r>
        <w:lastRenderedPageBreak/>
        <w:t xml:space="preserve">be a dummy variable that equals 0 before college J switches from single gender to co-residence and equals 1 after. Then </w:t>
      </w:r>
    </w:p>
    <w:p w14:paraId="1D29F4D1" w14:textId="77777777" w:rsidR="00B8083C" w:rsidRDefault="00B74492" w:rsidP="00B8083C">
      <w:pPr>
        <w:spacing w:line="480" w:lineRule="auto"/>
        <w:jc w:val="center"/>
      </w:pPr>
      <m:oMathPara>
        <m:oMath>
          <m:sSub>
            <m:sSubPr>
              <m:ctrlPr>
                <w:rPr>
                  <w:rFonts w:ascii="Cambria Math" w:hAnsi="Cambria Math"/>
                  <w:i/>
                </w:rPr>
              </m:ctrlPr>
            </m:sSubPr>
            <m:e>
              <m:r>
                <w:rPr>
                  <w:rFonts w:ascii="Cambria Math" w:hAnsi="Cambria Math"/>
                </w:rPr>
                <m:t>Y</m:t>
              </m:r>
            </m:e>
            <m:sub>
              <m:r>
                <w:rPr>
                  <w:rFonts w:ascii="Cambria Math" w:hAnsi="Cambria Math"/>
                </w:rPr>
                <m:t>ct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t</m:t>
              </m:r>
            </m:sub>
          </m:sSub>
          <m:r>
            <w:rPr>
              <w:rFonts w:ascii="Cambria Math" w:hAnsi="Cambria Math"/>
            </w:rPr>
            <m:t>+</m:t>
          </m:r>
          <m:sSubSup>
            <m:sSubSupPr>
              <m:ctrlPr>
                <w:rPr>
                  <w:rFonts w:ascii="Cambria Math" w:hAnsi="Cambria Math"/>
                  <w:b/>
                  <w:i/>
                </w:rPr>
              </m:ctrlPr>
            </m:sSubSupPr>
            <m:e>
              <m:r>
                <m:rPr>
                  <m:sty m:val="bi"/>
                </m:rPr>
                <w:rPr>
                  <w:rFonts w:ascii="Cambria Math" w:hAnsi="Cambria Math"/>
                </w:rPr>
                <m:t>β</m:t>
              </m:r>
            </m:e>
            <m:sub>
              <m:r>
                <w:rPr>
                  <w:rFonts w:ascii="Cambria Math" w:hAnsi="Cambria Math"/>
                </w:rPr>
                <m:t>1</m:t>
              </m:r>
            </m:sub>
            <m:sup>
              <m:r>
                <m:rPr>
                  <m:sty m:val="bi"/>
                </m:rP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ct</m:t>
              </m:r>
            </m:sub>
          </m:sSub>
          <m:r>
            <w:rPr>
              <w:rFonts w:ascii="Cambria Math" w:hAnsi="Cambria Math"/>
            </w:rPr>
            <m:t>+</m:t>
          </m:r>
          <m:nary>
            <m:naryPr>
              <m:chr m:val="∑"/>
              <m:limLoc m:val="undOvr"/>
              <m:ctrlPr>
                <w:rPr>
                  <w:rFonts w:ascii="Cambria Math" w:hAnsi="Cambria Math"/>
                  <w:i/>
                </w:rPr>
              </m:ctrlPr>
            </m:naryPr>
            <m:sub>
              <m:r>
                <w:rPr>
                  <w:rFonts w:ascii="Cambria Math" w:hAnsi="Cambria Math"/>
                </w:rPr>
                <m:t>k=-r</m:t>
              </m:r>
            </m:sub>
            <m:sup>
              <m:r>
                <w:rPr>
                  <w:rFonts w:ascii="Cambria Math" w:hAnsi="Cambria Math"/>
                </w:rPr>
                <m:t>s</m:t>
              </m:r>
            </m:sup>
            <m:e>
              <m:sSub>
                <m:sSubPr>
                  <m:ctrlPr>
                    <w:rPr>
                      <w:rFonts w:ascii="Cambria Math" w:hAnsi="Cambria Math"/>
                      <w:i/>
                    </w:rPr>
                  </m:ctrlPr>
                </m:sSubPr>
                <m:e>
                  <m:r>
                    <w:rPr>
                      <w:rFonts w:ascii="Cambria Math" w:hAnsi="Cambria Math"/>
                    </w:rPr>
                    <m:t>γ</m:t>
                  </m:r>
                </m:e>
                <m:sub>
                  <m:r>
                    <w:rPr>
                      <w:rFonts w:ascii="Cambria Math" w:hAnsi="Cambria Math"/>
                    </w:rPr>
                    <m:t>ck</m:t>
                  </m:r>
                </m:sub>
              </m:sSub>
              <m:sSubSup>
                <m:sSubSupPr>
                  <m:ctrlPr>
                    <w:rPr>
                      <w:rFonts w:ascii="Cambria Math" w:hAnsi="Cambria Math"/>
                      <w:i/>
                    </w:rPr>
                  </m:ctrlPr>
                </m:sSubSupPr>
                <m:e>
                  <m:r>
                    <w:rPr>
                      <w:rFonts w:ascii="Cambria Math" w:hAnsi="Cambria Math"/>
                    </w:rPr>
                    <m:t>E</m:t>
                  </m:r>
                </m:e>
                <m:sub>
                  <m:r>
                    <w:rPr>
                      <w:rFonts w:ascii="Cambria Math" w:hAnsi="Cambria Math"/>
                    </w:rPr>
                    <m:t>c(t+k)</m:t>
                  </m:r>
                </m:sub>
                <m:sup>
                  <m:r>
                    <w:rPr>
                      <w:rFonts w:ascii="Cambria Math" w:hAnsi="Cambria Math"/>
                    </w:rPr>
                    <m:t>J</m:t>
                  </m:r>
                </m:sup>
              </m:sSubSup>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ϵ</m:t>
              </m:r>
            </m:e>
            <m:sub>
              <m:r>
                <w:rPr>
                  <w:rFonts w:ascii="Cambria Math" w:eastAsiaTheme="minorEastAsia" w:hAnsi="Cambria Math"/>
                </w:rPr>
                <m:t>ct</m:t>
              </m:r>
            </m:sub>
          </m:sSub>
        </m:oMath>
      </m:oMathPara>
    </w:p>
    <w:p w14:paraId="6DA1C8A5" w14:textId="0590044E" w:rsidR="00B8083C" w:rsidRDefault="00B8083C" w:rsidP="00B8083C">
      <w:pPr>
        <w:spacing w:line="480" w:lineRule="auto"/>
        <w:rPr>
          <w:rFonts w:eastAsiaTheme="minorEastAsia"/>
        </w:rPr>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t</m:t>
            </m:r>
          </m:sub>
        </m:sSub>
      </m:oMath>
      <w:r>
        <w:t xml:space="preserve"> are time fixed effects such as changes in the application environment that affect all colleges consistently</w:t>
      </w:r>
      <w:r w:rsidR="0057764B">
        <w:t xml:space="preserve"> or the effects of the Sex Discrimination Act</w:t>
      </w:r>
      <w: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c</m:t>
            </m:r>
          </m:sub>
        </m:sSub>
      </m:oMath>
      <w:r>
        <w:rPr>
          <w:rFonts w:eastAsiaTheme="minorEastAsia"/>
        </w:rPr>
        <w:t xml:space="preserve"> are college fixed effects such as size, history, and culture, </w:t>
      </w:r>
      <m:oMath>
        <m:sSub>
          <m:sSubPr>
            <m:ctrlPr>
              <w:rPr>
                <w:rFonts w:ascii="Cambria Math" w:hAnsi="Cambria Math"/>
                <w:i/>
              </w:rPr>
            </m:ctrlPr>
          </m:sSubPr>
          <m:e>
            <m:r>
              <w:rPr>
                <w:rFonts w:ascii="Cambria Math" w:hAnsi="Cambria Math"/>
              </w:rPr>
              <m:t>X</m:t>
            </m:r>
          </m:e>
          <m:sub>
            <m:r>
              <w:rPr>
                <w:rFonts w:ascii="Cambria Math" w:hAnsi="Cambria Math"/>
              </w:rPr>
              <m:t>ct</m:t>
            </m:r>
          </m:sub>
        </m:sSub>
      </m:oMath>
      <w:r>
        <w:rPr>
          <w:rFonts w:eastAsiaTheme="minorEastAsia"/>
        </w:rPr>
        <w:t xml:space="preserve"> are time-varying covariates such as </w:t>
      </w:r>
      <w:r w:rsidR="00484B77">
        <w:rPr>
          <w:rFonts w:eastAsiaTheme="minorEastAsia"/>
        </w:rPr>
        <w:t>whether the head of college is male</w:t>
      </w:r>
      <w:r>
        <w:rPr>
          <w:rFonts w:eastAsiaTheme="minorEastAsia"/>
        </w:rPr>
        <w:t>,</w:t>
      </w:r>
      <w:r w:rsidR="00FF5D53">
        <w:rPr>
          <w:rFonts w:eastAsiaTheme="minorEastAsia"/>
        </w:rPr>
        <w:t xml:space="preserve"> and</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ϵ</m:t>
            </m:r>
          </m:e>
          <m:sub>
            <m:r>
              <w:rPr>
                <w:rFonts w:ascii="Cambria Math" w:eastAsiaTheme="minorEastAsia" w:hAnsi="Cambria Math"/>
              </w:rPr>
              <m:t>ct</m:t>
            </m:r>
          </m:sub>
        </m:sSub>
        <m:r>
          <w:rPr>
            <w:rFonts w:ascii="Cambria Math" w:eastAsiaTheme="minorEastAsia" w:hAnsi="Cambria Math"/>
          </w:rPr>
          <m:t xml:space="preserve"> </m:t>
        </m:r>
      </m:oMath>
      <w:r>
        <w:rPr>
          <w:rFonts w:eastAsiaTheme="minorEastAsia"/>
        </w:rPr>
        <w:t xml:space="preserve"> is a random error term</w:t>
      </w:r>
      <w:r w:rsidR="00FF5D53">
        <w:rPr>
          <w:rFonts w:eastAsiaTheme="minorEastAsia"/>
        </w:rPr>
        <w:t xml:space="preserve">. </w:t>
      </w:r>
      <w:r>
        <w:rPr>
          <w:rFonts w:eastAsiaTheme="minorEastAsia"/>
        </w:rPr>
        <w:t xml:space="preserve"> </w:t>
      </w:r>
      <w:r w:rsidR="00FF5D53">
        <w:rPr>
          <w:rFonts w:eastAsiaTheme="minorEastAsia"/>
        </w:rPr>
        <w:t>B</w:t>
      </w:r>
      <w:r>
        <w:rPr>
          <w:rFonts w:eastAsiaTheme="minorEastAsia"/>
        </w:rPr>
        <w:t xml:space="preserve">y including </w:t>
      </w:r>
      <m:oMath>
        <m:sSubSup>
          <m:sSubSupPr>
            <m:ctrlPr>
              <w:rPr>
                <w:rFonts w:ascii="Cambria Math" w:hAnsi="Cambria Math"/>
                <w:i/>
              </w:rPr>
            </m:ctrlPr>
          </m:sSubSupPr>
          <m:e>
            <m:r>
              <w:rPr>
                <w:rFonts w:ascii="Cambria Math" w:hAnsi="Cambria Math"/>
              </w:rPr>
              <m:t>E</m:t>
            </m:r>
          </m:e>
          <m:sub>
            <m:r>
              <w:rPr>
                <w:rFonts w:ascii="Cambria Math" w:hAnsi="Cambria Math"/>
              </w:rPr>
              <m:t>c(t+k)</m:t>
            </m:r>
          </m:sub>
          <m:sup>
            <m:r>
              <w:rPr>
                <w:rFonts w:ascii="Cambria Math" w:hAnsi="Cambria Math"/>
              </w:rPr>
              <m:t>J</m:t>
            </m:r>
          </m:sup>
        </m:sSubSup>
        <m:r>
          <w:rPr>
            <w:rFonts w:ascii="Cambria Math" w:hAnsi="Cambria Math"/>
          </w:rPr>
          <m:t xml:space="preserve"> </m:t>
        </m:r>
      </m:oMath>
      <w:r>
        <w:t xml:space="preserve">we have allowed the effect of a switch from single residence to co-residence to have both leading and lagging effects on the outcome variable </w:t>
      </w:r>
      <m:oMath>
        <m:sSub>
          <m:sSubPr>
            <m:ctrlPr>
              <w:rPr>
                <w:rFonts w:ascii="Cambria Math" w:hAnsi="Cambria Math"/>
                <w:i/>
              </w:rPr>
            </m:ctrlPr>
          </m:sSubPr>
          <m:e>
            <m:r>
              <w:rPr>
                <w:rFonts w:ascii="Cambria Math" w:hAnsi="Cambria Math"/>
              </w:rPr>
              <m:t>Y</m:t>
            </m:r>
          </m:e>
          <m:sub>
            <m:r>
              <w:rPr>
                <w:rFonts w:ascii="Cambria Math" w:hAnsi="Cambria Math"/>
              </w:rPr>
              <m:t>ct</m:t>
            </m:r>
          </m:sub>
        </m:sSub>
      </m:oMath>
      <w:r>
        <w:rPr>
          <w:rFonts w:eastAsiaTheme="minorEastAsia"/>
        </w:rPr>
        <w:t xml:space="preserve">. We also envision allowing for the effect of </w:t>
      </w:r>
      <m:oMath>
        <m:sSubSup>
          <m:sSubSupPr>
            <m:ctrlPr>
              <w:rPr>
                <w:rFonts w:ascii="Cambria Math" w:hAnsi="Cambria Math"/>
                <w:i/>
              </w:rPr>
            </m:ctrlPr>
          </m:sSubSupPr>
          <m:e>
            <m:r>
              <w:rPr>
                <w:rFonts w:ascii="Cambria Math" w:hAnsi="Cambria Math"/>
              </w:rPr>
              <m:t>E</m:t>
            </m:r>
          </m:e>
          <m:sub>
            <m:r>
              <w:rPr>
                <w:rFonts w:ascii="Cambria Math" w:hAnsi="Cambria Math"/>
              </w:rPr>
              <m:t>c(t+k)</m:t>
            </m:r>
          </m:sub>
          <m:sup>
            <m:r>
              <w:rPr>
                <w:rFonts w:ascii="Cambria Math" w:hAnsi="Cambria Math"/>
              </w:rPr>
              <m:t>J</m:t>
            </m:r>
          </m:sup>
        </m:sSubSup>
        <m:r>
          <w:rPr>
            <w:rFonts w:ascii="Cambria Math" w:hAnsi="Cambria Math"/>
          </w:rPr>
          <m:t xml:space="preserve"> </m:t>
        </m:r>
      </m:oMath>
      <w:r>
        <w:rPr>
          <w:rFonts w:eastAsiaTheme="minorEastAsia"/>
        </w:rPr>
        <w:t xml:space="preserve">, i.e.  </w:t>
      </w:r>
      <m:oMath>
        <m:sSub>
          <m:sSubPr>
            <m:ctrlPr>
              <w:rPr>
                <w:rFonts w:ascii="Cambria Math" w:hAnsi="Cambria Math"/>
                <w:i/>
              </w:rPr>
            </m:ctrlPr>
          </m:sSubPr>
          <m:e>
            <m:r>
              <w:rPr>
                <w:rFonts w:ascii="Cambria Math" w:hAnsi="Cambria Math"/>
              </w:rPr>
              <m:t>γ</m:t>
            </m:r>
          </m:e>
          <m:sub>
            <m:r>
              <w:rPr>
                <w:rFonts w:ascii="Cambria Math" w:hAnsi="Cambria Math"/>
              </w:rPr>
              <m:t>ck</m:t>
            </m:r>
          </m:sub>
        </m:sSub>
      </m:oMath>
      <w:r>
        <w:rPr>
          <w:rFonts w:eastAsiaTheme="minorEastAsia"/>
        </w:rPr>
        <w:t xml:space="preserve">, to depend on the college to some extent.  More specifically, the effect will depend on whether the college was the one that initiated the event or not ( c = J or c </w:t>
      </w:r>
      <w:r>
        <w:rPr>
          <w:rFonts w:eastAsiaTheme="minorEastAsia"/>
        </w:rPr>
        <w:sym w:font="Symbol" w:char="F0B9"/>
      </w:r>
      <w:r>
        <w:rPr>
          <w:rFonts w:eastAsiaTheme="minorEastAsia"/>
        </w:rPr>
        <w:t xml:space="preserve"> J)  and whether the college was at the time of the event an all-male , all-female or mixed college. For example, if  </w:t>
      </w:r>
      <m:oMath>
        <m:sSub>
          <m:sSubPr>
            <m:ctrlPr>
              <w:rPr>
                <w:rFonts w:ascii="Cambria Math" w:hAnsi="Cambria Math"/>
                <w:i/>
              </w:rPr>
            </m:ctrlPr>
          </m:sSubPr>
          <m:e>
            <m:r>
              <w:rPr>
                <w:rFonts w:ascii="Cambria Math" w:hAnsi="Cambria Math"/>
              </w:rPr>
              <m:t>Y</m:t>
            </m:r>
          </m:e>
          <m:sub>
            <m:r>
              <w:rPr>
                <w:rFonts w:ascii="Cambria Math" w:hAnsi="Cambria Math"/>
              </w:rPr>
              <m:t>ct</m:t>
            </m:r>
          </m:sub>
        </m:sSub>
      </m:oMath>
      <w:r w:rsidR="003709FA">
        <w:rPr>
          <w:rFonts w:eastAsiaTheme="minorEastAsia"/>
        </w:rPr>
        <w:t xml:space="preserve"> is</w:t>
      </w:r>
      <w:r>
        <w:rPr>
          <w:rFonts w:eastAsiaTheme="minorEastAsia"/>
        </w:rPr>
        <w:t xml:space="preserve"> a college’s </w:t>
      </w:r>
      <w:r w:rsidR="004B2FFB">
        <w:t xml:space="preserve">Norrington ranking at time t, </w:t>
      </w:r>
      <w:r>
        <w:t>then it is possible that a dip in college J ranking (</w:t>
      </w:r>
      <m:oMath>
        <m:sSub>
          <m:sSubPr>
            <m:ctrlPr>
              <w:rPr>
                <w:rFonts w:ascii="Cambria Math" w:hAnsi="Cambria Math"/>
                <w:i/>
              </w:rPr>
            </m:ctrlPr>
          </m:sSubPr>
          <m:e>
            <m:r>
              <w:rPr>
                <w:rFonts w:ascii="Cambria Math" w:hAnsi="Cambria Math"/>
              </w:rPr>
              <m:t>γ</m:t>
            </m:r>
          </m:e>
          <m:sub>
            <m:r>
              <w:rPr>
                <w:rFonts w:ascii="Cambria Math" w:hAnsi="Cambria Math"/>
              </w:rPr>
              <m:t>Jk</m:t>
            </m:r>
          </m:sub>
        </m:sSub>
      </m:oMath>
      <w:r>
        <w:rPr>
          <w:rFonts w:eastAsiaTheme="minorEastAsia"/>
        </w:rPr>
        <w:t xml:space="preserve"> &lt; 0 for k &lt; 0) </w:t>
      </w:r>
      <w:r>
        <w:t>may lead it to switch from single to co-residence after which its ranking begins to improve (</w:t>
      </w:r>
      <m:oMath>
        <m:sSub>
          <m:sSubPr>
            <m:ctrlPr>
              <w:rPr>
                <w:rFonts w:ascii="Cambria Math" w:hAnsi="Cambria Math"/>
                <w:i/>
              </w:rPr>
            </m:ctrlPr>
          </m:sSubPr>
          <m:e>
            <m:r>
              <w:rPr>
                <w:rFonts w:ascii="Cambria Math" w:hAnsi="Cambria Math"/>
              </w:rPr>
              <m:t>γ</m:t>
            </m:r>
          </m:e>
          <m:sub>
            <m:r>
              <w:rPr>
                <w:rFonts w:ascii="Cambria Math" w:hAnsi="Cambria Math"/>
              </w:rPr>
              <m:t>Jk</m:t>
            </m:r>
          </m:sub>
        </m:sSub>
      </m:oMath>
      <w:r>
        <w:rPr>
          <w:rFonts w:eastAsiaTheme="minorEastAsia"/>
        </w:rPr>
        <w:t xml:space="preserve"> &gt; 0 for k </w:t>
      </w:r>
      <w:r>
        <w:rPr>
          <w:rFonts w:eastAsiaTheme="minorEastAsia"/>
        </w:rPr>
        <w:sym w:font="Symbol" w:char="F0B3"/>
      </w:r>
      <w:r>
        <w:rPr>
          <w:rFonts w:eastAsiaTheme="minorEastAsia"/>
        </w:rPr>
        <w:t xml:space="preserve"> 0 ).  Colleges other than the one making the switch may be affected negatively </w:t>
      </w:r>
      <w:r>
        <w:t>(</w:t>
      </w:r>
      <m:oMath>
        <m:sSub>
          <m:sSubPr>
            <m:ctrlPr>
              <w:rPr>
                <w:rFonts w:ascii="Cambria Math" w:hAnsi="Cambria Math"/>
                <w:i/>
              </w:rPr>
            </m:ctrlPr>
          </m:sSubPr>
          <m:e>
            <m:r>
              <w:rPr>
                <w:rFonts w:ascii="Cambria Math" w:hAnsi="Cambria Math"/>
              </w:rPr>
              <m:t>γ</m:t>
            </m:r>
          </m:e>
          <m:sub>
            <m:r>
              <w:rPr>
                <w:rFonts w:ascii="Cambria Math" w:hAnsi="Cambria Math"/>
              </w:rPr>
              <m:t>ck</m:t>
            </m:r>
          </m:sub>
        </m:sSub>
      </m:oMath>
      <w:r>
        <w:rPr>
          <w:rFonts w:eastAsiaTheme="minorEastAsia"/>
        </w:rPr>
        <w:t xml:space="preserve"> &lt; 0 for k </w:t>
      </w:r>
      <w:r>
        <w:rPr>
          <w:rFonts w:eastAsiaTheme="minorEastAsia"/>
        </w:rPr>
        <w:sym w:font="Symbol" w:char="F0B3"/>
      </w:r>
      <w:r>
        <w:rPr>
          <w:rFonts w:eastAsiaTheme="minorEastAsia"/>
        </w:rPr>
        <w:t xml:space="preserve"> 0) with differential effects depending on whether the college is all-female (c = F), all-male (c = M) or mixed (c = B).</w:t>
      </w:r>
    </w:p>
    <w:p w14:paraId="729B5028" w14:textId="77777777" w:rsidR="00150D2C" w:rsidRDefault="00150D2C" w:rsidP="00B8083C">
      <w:pPr>
        <w:spacing w:line="480" w:lineRule="auto"/>
        <w:rPr>
          <w:rFonts w:eastAsiaTheme="minorEastAsia"/>
          <w:b/>
        </w:rPr>
      </w:pPr>
      <w:r>
        <w:rPr>
          <w:rFonts w:eastAsiaTheme="minorEastAsia"/>
          <w:b/>
        </w:rPr>
        <w:t>Findings</w:t>
      </w:r>
    </w:p>
    <w:p w14:paraId="4B5F163A" w14:textId="77777777" w:rsidR="00D37073" w:rsidRDefault="00D37073" w:rsidP="00B8083C">
      <w:pPr>
        <w:spacing w:line="480" w:lineRule="auto"/>
        <w:rPr>
          <w:rFonts w:eastAsiaTheme="minorEastAsia"/>
          <w:b/>
        </w:rPr>
      </w:pPr>
      <w:r>
        <w:rPr>
          <w:rFonts w:eastAsiaTheme="minorEastAsia"/>
          <w:b/>
        </w:rPr>
        <w:t>Hypothesis 1</w:t>
      </w:r>
    </w:p>
    <w:p w14:paraId="19E4871D" w14:textId="75A209F3" w:rsidR="00D37073" w:rsidRDefault="00D37073" w:rsidP="00D37073">
      <w:pPr>
        <w:spacing w:line="480" w:lineRule="auto"/>
      </w:pPr>
      <w:r>
        <w:t>Th</w:t>
      </w:r>
      <w:r w:rsidR="008C035F">
        <w:t xml:space="preserve">e data shown in Table 1 suggests </w:t>
      </w:r>
      <w:r>
        <w:t>that coresidence resulted in a greater representation of women at Oxford.   According to Bolton (2014) the percentage of female undergraduates was slightly less than 20 percent from the 1930s until 1970/71.  It increase</w:t>
      </w:r>
      <w:r w:rsidR="00EF5FA8">
        <w:t>d</w:t>
      </w:r>
      <w:r>
        <w:t xml:space="preserve"> by almost 50 percent during the 1970s when the </w:t>
      </w:r>
      <w:r w:rsidR="006871BD">
        <w:lastRenderedPageBreak/>
        <w:t xml:space="preserve">1974 </w:t>
      </w:r>
      <w:r>
        <w:t>initial experiment with coresidence beg</w:t>
      </w:r>
      <w:r w:rsidR="003646EA">
        <w:t>a</w:t>
      </w:r>
      <w:r>
        <w:t xml:space="preserve">n and when the “great expansion” of 1979 occurred.   There was a further 39 percent increase in the 1980s when six more colleges introduced coresidence.  The </w:t>
      </w:r>
      <w:r w:rsidR="007032A3">
        <w:t xml:space="preserve">percentage </w:t>
      </w:r>
      <w:r>
        <w:t>increase since 1990 has not been so dramatic (17 percent) but, of course, the base was higher.</w:t>
      </w:r>
    </w:p>
    <w:p w14:paraId="6F20276B" w14:textId="036B0D81" w:rsidR="00D37073" w:rsidRDefault="00D37073" w:rsidP="00D37073">
      <w:pPr>
        <w:spacing w:line="480" w:lineRule="auto"/>
      </w:pPr>
      <w:r>
        <w:t>The increasing share of undergraduates who are female translat</w:t>
      </w:r>
      <w:r w:rsidR="006871BD">
        <w:t>ed</w:t>
      </w:r>
      <w:r>
        <w:t xml:space="preserve"> into higher absolute numbers </w:t>
      </w:r>
      <w:r w:rsidR="008C035F">
        <w:t xml:space="preserve">primarily because </w:t>
      </w:r>
      <w:r>
        <w:t xml:space="preserve">of the growth in their share of students </w:t>
      </w:r>
      <w:r w:rsidR="007032A3">
        <w:t xml:space="preserve">rather </w:t>
      </w:r>
      <w:r>
        <w:t xml:space="preserve">than an increase in the total number of students.  Most of the growth in the number of undergraduates </w:t>
      </w:r>
      <w:r w:rsidR="00F268AC">
        <w:t xml:space="preserve">at Oxford </w:t>
      </w:r>
      <w:r>
        <w:t xml:space="preserve">occurred before 1974 and relatively little thereafter.  In 1923-24 there were 4,163 </w:t>
      </w:r>
      <w:r w:rsidR="00F268AC">
        <w:t xml:space="preserve">undergraduate </w:t>
      </w:r>
      <w:r>
        <w:t xml:space="preserve">students, 5,023 in 1938-39, 7,323 in 1949-50, 8.975 in 1960-61, and 10,947 in 1970-71 (Thomas 1994: 190).  </w:t>
      </w:r>
      <w:r w:rsidR="00086D98">
        <w:t>In 2015</w:t>
      </w:r>
      <w:r>
        <w:t xml:space="preserve"> there were </w:t>
      </w:r>
      <w:r w:rsidR="00086D98">
        <w:t xml:space="preserve">11,603 </w:t>
      </w:r>
      <w:r w:rsidR="00100A6B">
        <w:t>undergraduate students (</w:t>
      </w:r>
      <w:r w:rsidR="00086D98">
        <w:t>University of Oxford 2016.</w:t>
      </w:r>
      <w:r w:rsidR="00100A6B">
        <w:t xml:space="preserve"> </w:t>
      </w:r>
      <w:r w:rsidR="00086D98">
        <w:t>Gazette Sup</w:t>
      </w:r>
      <w:r w:rsidR="00EF5FA8">
        <w:t>plement</w:t>
      </w:r>
      <w:r w:rsidR="00100A6B">
        <w:t>: Student Numbers 2015)</w:t>
      </w:r>
      <w:r>
        <w:t>.</w:t>
      </w:r>
    </w:p>
    <w:p w14:paraId="577D6B5C" w14:textId="5EBBE2CB" w:rsidR="00724791" w:rsidRPr="00AC0D8C" w:rsidRDefault="00AC0D8C" w:rsidP="00D37073">
      <w:pPr>
        <w:spacing w:line="480" w:lineRule="auto"/>
      </w:pPr>
      <w:r>
        <w:rPr>
          <w:b/>
        </w:rPr>
        <w:tab/>
      </w:r>
      <w:r>
        <w:t xml:space="preserve">Figure 1 graphs yearly data </w:t>
      </w:r>
      <w:r w:rsidR="006871BD">
        <w:t xml:space="preserve">on </w:t>
      </w:r>
      <w:r>
        <w:t xml:space="preserve">the proportion of women undergraduates from 1930 through 2016. </w:t>
      </w:r>
      <w:r w:rsidR="00A12F55">
        <w:t>The vertical bars are drawn at years where colleges changed from unisex residence to co-residence and the numbers indicate how many colleges changed in that particular year. So, by 1980</w:t>
      </w:r>
      <w:r w:rsidR="00657508">
        <w:t>,</w:t>
      </w:r>
      <w:r w:rsidR="00A12F55">
        <w:t xml:space="preserve"> </w:t>
      </w:r>
      <w:r w:rsidR="00657508">
        <w:t>twenty-four colleges were co-resident. While the proportion of Oxford women undergraduates began trending upward after 1960, the trend appears to steepen after 1974, at least until about 1990. To test this more formally, a linear spline regression model was estimated with a single knot point at the year 1974 using yearly data on the proportion of Oxford women undergraduates from 1960 – 1990.  Model estimates imply that the slope of the trend for the percentage of undergraduate women increased from 0.5% per year before 1974 to 1.5% per year after 1974 (p-value &lt; 0.001).</w:t>
      </w:r>
    </w:p>
    <w:p w14:paraId="018C82F0" w14:textId="3FED3554" w:rsidR="00100A6B" w:rsidRDefault="00100A6B" w:rsidP="007032A3">
      <w:pPr>
        <w:tabs>
          <w:tab w:val="left" w:pos="6045"/>
        </w:tabs>
        <w:spacing w:line="480" w:lineRule="auto"/>
        <w:rPr>
          <w:b/>
        </w:rPr>
      </w:pPr>
      <w:r>
        <w:rPr>
          <w:b/>
        </w:rPr>
        <w:t>Hypothesis 2</w:t>
      </w:r>
      <w:r w:rsidR="007032A3">
        <w:rPr>
          <w:b/>
        </w:rPr>
        <w:tab/>
      </w:r>
    </w:p>
    <w:p w14:paraId="388CA28E" w14:textId="16779ACC" w:rsidR="009F73C7" w:rsidRDefault="00100A6B" w:rsidP="00D37073">
      <w:pPr>
        <w:spacing w:line="480" w:lineRule="auto"/>
      </w:pPr>
      <w:r>
        <w:t>Bro</w:t>
      </w:r>
      <w:r w:rsidR="00886E7D">
        <w:t>ckli</w:t>
      </w:r>
      <w:r w:rsidRPr="00100A6B">
        <w:t xml:space="preserve">ss and Perie </w:t>
      </w:r>
      <w:r>
        <w:t>claimed that many able women were excluded from Oxford while Hubbard, Sutherland, Vaughan, and Murray were, at best skeptical.</w:t>
      </w:r>
      <w:r w:rsidR="00CC263D">
        <w:t xml:space="preserve">  The available evidence suggests that the lack </w:t>
      </w:r>
      <w:r w:rsidR="00CC263D">
        <w:lastRenderedPageBreak/>
        <w:t>of places at Oxford before coresidence did lead to the exclusion of female students with better academic achievement than males who were admitted. Brock (1994:750)</w:t>
      </w:r>
      <w:r w:rsidR="00DF7B73">
        <w:t xml:space="preserve"> </w:t>
      </w:r>
      <w:r w:rsidR="00CC263D">
        <w:t xml:space="preserve">reported that more than 56 percent of women admitted to Oxford had three A-level passes with grades of AAC/ABB or better compared with fewer than 52 percent of males.  </w:t>
      </w:r>
      <w:r w:rsidR="00F268AC">
        <w:t>Similarly, McCrum (1996:373)</w:t>
      </w:r>
      <w:r w:rsidR="00D85181">
        <w:t xml:space="preserve"> </w:t>
      </w:r>
      <w:r w:rsidR="00F268AC">
        <w:t>found</w:t>
      </w:r>
      <w:r w:rsidR="00D85181">
        <w:t xml:space="preserve"> that women admitted to Oxford in 1974 performed 4.4 percent better at A-levels than men</w:t>
      </w:r>
      <w:r w:rsidR="00F268AC">
        <w:t xml:space="preserve">.  </w:t>
      </w:r>
    </w:p>
    <w:p w14:paraId="0687F4DA" w14:textId="0644EE3E" w:rsidR="003C62B6" w:rsidRDefault="008272D5" w:rsidP="00D37073">
      <w:pPr>
        <w:spacing w:line="480" w:lineRule="auto"/>
      </w:pPr>
      <w:r>
        <w:t>An associated question is ‘how large was the pool of bright women”? That is, as the ad</w:t>
      </w:r>
      <w:r w:rsidR="00170869">
        <w:t>mission of women increased did</w:t>
      </w:r>
      <w:r>
        <w:t xml:space="preserve"> the quality decrease?  Data report</w:t>
      </w:r>
      <w:r w:rsidR="00910F22">
        <w:t>ed by McCrum (1996:373</w:t>
      </w:r>
      <w:r>
        <w:t>) showed a</w:t>
      </w:r>
      <w:r w:rsidR="00910F22">
        <w:t>n</w:t>
      </w:r>
      <w:r>
        <w:t xml:space="preserve"> </w:t>
      </w:r>
      <w:r w:rsidR="00910F22">
        <w:t>increase</w:t>
      </w:r>
      <w:r>
        <w:t xml:space="preserve"> in women’s A-level scores</w:t>
      </w:r>
      <w:r w:rsidR="00910F22">
        <w:t xml:space="preserve"> from 12.166 in 1974 to 13.182 in 1991 even though the number of women admitted increased substantially-</w:t>
      </w:r>
      <w:r w:rsidR="00910F22" w:rsidRPr="00910F22">
        <w:t xml:space="preserve"> </w:t>
      </w:r>
      <w:r w:rsidR="00910F22">
        <w:t xml:space="preserve"> women increased from 20 percent of acceptances in 1973 to 40 percent in 1983 (DeWitt and Nixon 1988:12).  </w:t>
      </w:r>
      <w:r>
        <w:t xml:space="preserve"> </w:t>
      </w:r>
      <w:r w:rsidR="00170869">
        <w:t>However, women’s A-levels relative to those of men decreased:</w:t>
      </w:r>
      <w:r>
        <w:t xml:space="preserve"> women scored 4.4 percent better than males in 1974 but only</w:t>
      </w:r>
      <w:r w:rsidR="00D85181">
        <w:t xml:space="preserve"> 1.8 percent better </w:t>
      </w:r>
      <w:r>
        <w:t xml:space="preserve">in 1979 and </w:t>
      </w:r>
      <w:r w:rsidR="00D85181">
        <w:t>by the late 1990s they performed s</w:t>
      </w:r>
      <w:r w:rsidR="00170869">
        <w:t>imilarly to men (McCrum 1996:369).  This relative decline occurred because the A-level results of men improved more than did those of women as bright women replaced less able men among those admitted.</w:t>
      </w:r>
    </w:p>
    <w:p w14:paraId="3BDE90BC" w14:textId="25698401" w:rsidR="006871BD" w:rsidRDefault="006871BD" w:rsidP="006871BD">
      <w:pPr>
        <w:spacing w:line="480" w:lineRule="auto"/>
      </w:pPr>
      <w:r>
        <w:t xml:space="preserve">Using data from the </w:t>
      </w:r>
      <w:bookmarkStart w:id="1" w:name="OLE_LINK1"/>
      <w:r>
        <w:t>Universities’ Statistical Record</w:t>
      </w:r>
      <w:bookmarkEnd w:id="1"/>
      <w:r>
        <w:t>, we examined national A-level results for women and men that first entered university in the 1973-4 academic year in particular we looked at the A-level scores for the best three passes for the entire universe of students attending university by gender and for Oxford students separately.</w:t>
      </w:r>
      <w:r>
        <w:rPr>
          <w:rStyle w:val="FootnoteReference"/>
        </w:rPr>
        <w:footnoteReference w:id="14"/>
      </w:r>
      <w:r>
        <w:t xml:space="preserve"> As shown in Figure 2, the number of first-year women attending university who scored 15 points (3 A’s) was 1065, of whom 147 or 13.8% went to Oxford. The number of first-year women attending university who scored 14 was 1415 of whom 113 (8%) attended. Among first-year men attending university 2585 scored 15 on their best three A levels and 530 or 20.5% </w:t>
      </w:r>
      <w:r>
        <w:lastRenderedPageBreak/>
        <w:t>attended Oxford. Thus, the evidence supports Brockliss and Perie that there was an adequate pool of  able women who before coresidence could have but did not find a place at Oxford.</w:t>
      </w:r>
    </w:p>
    <w:p w14:paraId="4297FC3B" w14:textId="1B124EFE" w:rsidR="00724791" w:rsidRDefault="003C62B6" w:rsidP="00724791">
      <w:pPr>
        <w:spacing w:line="480" w:lineRule="auto"/>
      </w:pPr>
      <w:r>
        <w:t>Further evidence in support of</w:t>
      </w:r>
      <w:r w:rsidR="007032A3">
        <w:t xml:space="preserve"> the claim that there were additional </w:t>
      </w:r>
      <w:r w:rsidR="006871BD">
        <w:t xml:space="preserve">bright </w:t>
      </w:r>
      <w:r>
        <w:t xml:space="preserve">women who could be admitted to Oxford </w:t>
      </w:r>
      <w:r w:rsidR="007032A3">
        <w:t xml:space="preserve">is found in </w:t>
      </w:r>
      <w:r>
        <w:t xml:space="preserve">examination results.  </w:t>
      </w:r>
      <w:r w:rsidR="001F149D">
        <w:t>In the 10 years after coresidence 8.6 percent of women were awarded Firsts compared with 15.4 percent of men.  In the ten years before this time the respective percentages were 9.2 percent and 10.7 percent.</w:t>
      </w:r>
      <w:r w:rsidR="001F149D">
        <w:rPr>
          <w:rStyle w:val="FootnoteReference"/>
        </w:rPr>
        <w:footnoteReference w:id="15"/>
      </w:r>
      <w:r w:rsidR="001F149D">
        <w:t xml:space="preserve">   </w:t>
      </w:r>
      <w:r w:rsidR="00CB742D">
        <w:t xml:space="preserve">This finding does not mean that the women admitted after coresidence were academically </w:t>
      </w:r>
      <w:r w:rsidR="00590243">
        <w:t xml:space="preserve">less </w:t>
      </w:r>
      <w:r w:rsidR="00CB742D">
        <w:t>able than men.  Greenstein argues that the women recruited into the men’s colleges replaced less able male applicants, that is</w:t>
      </w:r>
      <w:r w:rsidR="00552987">
        <w:t>,</w:t>
      </w:r>
      <w:r w:rsidR="00DF7B73">
        <w:t xml:space="preserve"> “bright women in, stupid</w:t>
      </w:r>
      <w:r w:rsidR="00CB742D">
        <w:t xml:space="preserve"> men out”.  The absolute numbers taking final exams </w:t>
      </w:r>
      <w:r w:rsidR="00526554">
        <w:t>supports this contention.  Until</w:t>
      </w:r>
      <w:r w:rsidR="00CB742D">
        <w:t xml:space="preserve"> the 1960s men accounted for 80 to 90 percent of those sitting final exams.  However, with coresidence the absolute number of males fell sharply from 2,029 in 1976 to 1,612 in 1986.  Over the same period the number of women sitting final exams increased from 519 to 1,024.</w:t>
      </w:r>
      <w:r>
        <w:t xml:space="preserve">  </w:t>
      </w:r>
      <w:r w:rsidR="00100A6B">
        <w:t xml:space="preserve"> </w:t>
      </w:r>
      <w:r w:rsidR="00644F89">
        <w:t>There was also a compositional shift by subject and gender that contributed to the change in finals results by gender.  The mixed colleges tended to attract women who displaced less able men in the arts leading to an increase in the proportion of men reading sciences and a fall in the percentage of women</w:t>
      </w:r>
      <w:r w:rsidR="00134817">
        <w:t xml:space="preserve"> doing so.  The percentage of Fi</w:t>
      </w:r>
      <w:r w:rsidR="00644F89">
        <w:t>rsts awarded in the sciences was five to 15 percentage points higher than in the arts.</w:t>
      </w:r>
      <w:r w:rsidR="00B608BE">
        <w:t xml:space="preserve">  </w:t>
      </w:r>
      <w:r w:rsidR="00C53AD9">
        <w:t xml:space="preserve">As Malkiel (2016; 586) remarked, “By all accounts, women held their own academically.” Numbers increased greatly with </w:t>
      </w:r>
      <w:r w:rsidR="001F149D">
        <w:t>only a slight</w:t>
      </w:r>
      <w:r w:rsidR="00C53AD9">
        <w:t xml:space="preserve"> decrease in the most prized ou</w:t>
      </w:r>
      <w:r w:rsidR="00FA4D55">
        <w:t xml:space="preserve">tcome of an Oxford education: a </w:t>
      </w:r>
      <w:r w:rsidR="00C53AD9">
        <w:t>First</w:t>
      </w:r>
      <w:r w:rsidR="00B608BE">
        <w:t>,</w:t>
      </w:r>
      <w:r w:rsidR="00C53AD9">
        <w:t xml:space="preserve"> and, perh</w:t>
      </w:r>
      <w:r w:rsidR="00B608BE">
        <w:t>aps equally prized by most dons, the</w:t>
      </w:r>
      <w:r w:rsidR="00C53AD9">
        <w:t xml:space="preserve"> dumping out </w:t>
      </w:r>
      <w:r w:rsidR="00EC654D">
        <w:t xml:space="preserve">of </w:t>
      </w:r>
      <w:r w:rsidR="00C53AD9">
        <w:t xml:space="preserve">the duller chaps.  </w:t>
      </w:r>
    </w:p>
    <w:p w14:paraId="5BB43CDC" w14:textId="7D9793AE" w:rsidR="00A61934" w:rsidRDefault="00134817" w:rsidP="00D37073">
      <w:pPr>
        <w:spacing w:line="480" w:lineRule="auto"/>
      </w:pPr>
      <w:r>
        <w:t>Thus</w:t>
      </w:r>
      <w:r w:rsidR="00EF5FA8">
        <w:t>,</w:t>
      </w:r>
      <w:r>
        <w:t xml:space="preserve"> the preponderance of the available evidence suggests that up to the mid-1970s there was an ample supply of able women who were </w:t>
      </w:r>
      <w:r w:rsidR="006871BD">
        <w:t xml:space="preserve">most likely </w:t>
      </w:r>
      <w:r>
        <w:t xml:space="preserve">not admitted to Oxford because of a shortage of places in the women’s colleges.  With coresidence these able women replaced less able men in the </w:t>
      </w:r>
      <w:r>
        <w:lastRenderedPageBreak/>
        <w:t xml:space="preserve">former men’s colleges.  As proponents of coresidence argued, this lifted the overall standard of the University.  </w:t>
      </w:r>
    </w:p>
    <w:p w14:paraId="1BB501A2" w14:textId="77777777" w:rsidR="003A3722" w:rsidRDefault="003A3722" w:rsidP="00D37073">
      <w:pPr>
        <w:spacing w:line="480" w:lineRule="auto"/>
        <w:rPr>
          <w:b/>
        </w:rPr>
      </w:pPr>
    </w:p>
    <w:p w14:paraId="2C8FA8C7" w14:textId="77777777" w:rsidR="00A61934" w:rsidRDefault="00A61934" w:rsidP="00D37073">
      <w:pPr>
        <w:spacing w:line="480" w:lineRule="auto"/>
        <w:rPr>
          <w:b/>
        </w:rPr>
      </w:pPr>
      <w:r w:rsidRPr="00A61934">
        <w:rPr>
          <w:b/>
        </w:rPr>
        <w:t>Hypothesis 3</w:t>
      </w:r>
    </w:p>
    <w:p w14:paraId="2FFC2FE8" w14:textId="68F0CE29" w:rsidR="00FC1D88" w:rsidRDefault="00A61934" w:rsidP="00D37073">
      <w:pPr>
        <w:spacing w:line="480" w:lineRule="auto"/>
      </w:pPr>
      <w:r w:rsidRPr="00A61934">
        <w:t xml:space="preserve">It </w:t>
      </w:r>
      <w:r w:rsidR="00B028C0">
        <w:t>appears</w:t>
      </w:r>
      <w:r w:rsidRPr="00A61934">
        <w:t xml:space="preserve"> that bright women displaced </w:t>
      </w:r>
      <w:r>
        <w:t>less able men in the mixed colleges but is there any evidence to support the argument that the women’s colleges lost their brightest lights to the mixed colleges?</w:t>
      </w:r>
      <w:r w:rsidR="00590243">
        <w:t xml:space="preserve"> We </w:t>
      </w:r>
      <w:r w:rsidR="003A3722">
        <w:t>h</w:t>
      </w:r>
      <w:r w:rsidR="00590243">
        <w:t xml:space="preserve">ave </w:t>
      </w:r>
      <w:r w:rsidR="003A3722">
        <w:t xml:space="preserve">been unable to locate </w:t>
      </w:r>
      <w:r w:rsidR="00590243">
        <w:t xml:space="preserve">data on </w:t>
      </w:r>
      <w:r w:rsidR="003A3722">
        <w:t xml:space="preserve">the A-level results of entering </w:t>
      </w:r>
      <w:r w:rsidR="00590243">
        <w:t>students by college but there are examination results for women in the mixed colleges and the women’s colleges</w:t>
      </w:r>
      <w:r w:rsidR="003A3722">
        <w:t xml:space="preserve"> that are an adequate proxy measure of the academic quality of students</w:t>
      </w:r>
      <w:r w:rsidR="00590243">
        <w:t>.</w:t>
      </w:r>
      <w:r w:rsidR="00B028C0">
        <w:t xml:space="preserve"> </w:t>
      </w:r>
      <w:r w:rsidR="00590243">
        <w:t xml:space="preserve"> </w:t>
      </w:r>
      <w:r w:rsidR="00FC1D88">
        <w:t>Greenstein (1987) calculated the percentage of First</w:t>
      </w:r>
      <w:r w:rsidR="00BF1E33">
        <w:t>s</w:t>
      </w:r>
      <w:r w:rsidR="00FC1D88">
        <w:t xml:space="preserve"> awarded to women in mixed colleges and women’s colleges from 1977 to 1986</w:t>
      </w:r>
      <w:r w:rsidR="000B2E0A">
        <w:t xml:space="preserve"> and separately by arts and sciences.  Based on the data reported in his table on page 6, in eight of the ten years women in the mixed colleges outperformed women in the women’s colleges in </w:t>
      </w:r>
      <w:r w:rsidR="006871BD">
        <w:t xml:space="preserve">the percentage </w:t>
      </w:r>
      <w:r w:rsidR="000B2E0A">
        <w:t>of Firsts</w:t>
      </w:r>
      <w:r w:rsidR="006871BD">
        <w:t xml:space="preserve"> awarded</w:t>
      </w:r>
      <w:r w:rsidR="000B2E0A">
        <w:t xml:space="preserve">.  This superior performance </w:t>
      </w:r>
      <w:r w:rsidR="00CA06C1">
        <w:t>is unlikely to be</w:t>
      </w:r>
      <w:r w:rsidR="000B2E0A">
        <w:t xml:space="preserve"> explained by a different subject distribution between the types of colleges because in six of the years women in mixed colleges had a superior performance in arts and a superior performance in sciences in nine of the ten years.  </w:t>
      </w:r>
      <w:r w:rsidR="00FC11F4">
        <w:t>The women’s colleges had a higher percentage of Thirds in nine years in arts and seven in sciences and when Second clas</w:t>
      </w:r>
      <w:r w:rsidR="00CA06C1">
        <w:t>s degrees were separated into 2.I and 2.2</w:t>
      </w:r>
      <w:r w:rsidR="00FC11F4">
        <w:t xml:space="preserve"> in 1986</w:t>
      </w:r>
      <w:r w:rsidR="00D055DA">
        <w:t xml:space="preserve"> </w:t>
      </w:r>
      <w:r w:rsidR="00FC11F4">
        <w:t>women in the mixed colleges had a higher perc</w:t>
      </w:r>
      <w:r w:rsidR="00CA06C1">
        <w:t>entage of Seconds that were 2.1</w:t>
      </w:r>
      <w:r w:rsidR="00FC11F4">
        <w:t xml:space="preserve"> than women in the women’s colleges.  </w:t>
      </w:r>
      <w:r w:rsidR="00BF1E33">
        <w:t xml:space="preserve">Brock (1994: 750) compared the distribution of degrees awarded by class in 1989 for women in mixed and women’s colleges and found that women in the former were awarded a higher percentage of Firsts and a lower percentage of Thirds.  </w:t>
      </w:r>
      <w:r w:rsidR="00FC11F4">
        <w:t>The available evidence supports the concern expressed by the women’s colleges that relatively brighter female students would gravitate towards the former men’</w:t>
      </w:r>
      <w:r w:rsidR="00D055DA">
        <w:t xml:space="preserve">s colleges, that is, “skimming of the cream” seems to have occurred although </w:t>
      </w:r>
      <w:r w:rsidR="00337DF4">
        <w:t>we have</w:t>
      </w:r>
      <w:r w:rsidR="00D055DA">
        <w:t xml:space="preserve"> no evidence either way that the men admitted to formerly women’s </w:t>
      </w:r>
      <w:r w:rsidR="00D055DA">
        <w:lastRenderedPageBreak/>
        <w:t>colleges were</w:t>
      </w:r>
      <w:r w:rsidR="00903AF7">
        <w:t xml:space="preserve"> the “dregs” of male applicants although David Smith (2012: 17) of St. Anne’s noted in his history of the college that “the pool of first-cho</w:t>
      </w:r>
      <w:r w:rsidR="00E33742">
        <w:t>ice applicants, female and male</w:t>
      </w:r>
      <w:r w:rsidR="00903AF7">
        <w:t xml:space="preserve">, available to the former and continuing women’s colleges became less enticing than it had been.”  </w:t>
      </w:r>
    </w:p>
    <w:p w14:paraId="3823139E" w14:textId="3C684379" w:rsidR="00E33742" w:rsidRPr="00A61934" w:rsidRDefault="00B44D41" w:rsidP="00D37073">
      <w:pPr>
        <w:spacing w:line="480" w:lineRule="auto"/>
      </w:pPr>
      <w:r>
        <w:t>Further calculations b</w:t>
      </w:r>
      <w:r w:rsidR="006D4A90">
        <w:t xml:space="preserve">ased on data in Greenstein (1987:6) </w:t>
      </w:r>
      <w:r>
        <w:t>showed that i</w:t>
      </w:r>
      <w:r w:rsidR="006D4A90">
        <w:t xml:space="preserve">n the five years (1977-1981) after the first women in mixed colleges sat finals nine percent of women in mixed colleges were awarded Firsts compare to 8.4 percent of women in women’s colleges.  In the next five years (during which two of the formerly women’s colleges first admitted men) 9.6 percent of women in the mixed colleges were awarded Firsts compared to 6.4 percent of women in the women’s colleges.  Women in the mixed colleges improved their performance in both arts and sciences and women in women’s colleges performed worse in both.  Clearly, “bright girls” </w:t>
      </w:r>
      <w:r w:rsidR="00E67C12">
        <w:t xml:space="preserve">reallocated from women’s colleges to </w:t>
      </w:r>
      <w:r w:rsidR="006871BD">
        <w:t>the formerly all-male</w:t>
      </w:r>
      <w:r w:rsidR="00E67C12">
        <w:t xml:space="preserve"> colleges.</w:t>
      </w:r>
      <w:r w:rsidR="006D4A90">
        <w:t xml:space="preserve"> </w:t>
      </w:r>
    </w:p>
    <w:p w14:paraId="78C6B636" w14:textId="77777777" w:rsidR="00134817" w:rsidRPr="00100A6B" w:rsidRDefault="00134817" w:rsidP="00D37073">
      <w:pPr>
        <w:spacing w:line="480" w:lineRule="auto"/>
      </w:pPr>
    </w:p>
    <w:p w14:paraId="7A493B23" w14:textId="77777777" w:rsidR="00B8083C" w:rsidRDefault="00690B50" w:rsidP="00B8083C">
      <w:pPr>
        <w:spacing w:line="480" w:lineRule="auto"/>
        <w:rPr>
          <w:rFonts w:eastAsiaTheme="minorEastAsia"/>
          <w:b/>
        </w:rPr>
      </w:pPr>
      <w:r w:rsidRPr="00690B50">
        <w:rPr>
          <w:rFonts w:eastAsiaTheme="minorEastAsia"/>
          <w:b/>
        </w:rPr>
        <w:t>Hypothesis 4</w:t>
      </w:r>
    </w:p>
    <w:p w14:paraId="3910ACA0" w14:textId="76E6AB9C" w:rsidR="00A52070" w:rsidRDefault="00A52070" w:rsidP="00B8083C">
      <w:pPr>
        <w:spacing w:line="480" w:lineRule="auto"/>
        <w:rPr>
          <w:rFonts w:eastAsiaTheme="minorEastAsia"/>
          <w:b/>
        </w:rPr>
      </w:pPr>
      <w:r>
        <w:t>Progress in appointing women to academic posts was slow</w:t>
      </w:r>
      <w:r w:rsidR="0038540F">
        <w:t xml:space="preserve">.  </w:t>
      </w:r>
      <w:r w:rsidR="00C22286">
        <w:t>In the decade after coresidence the percentage of female undergraduates almost doubled, and the number of female postgraduates rose by 50 percent but the percentage of fellows who were female increased from 13 percent to only 14 percent and the percentage in the professoriate from three to five percent (Brock 1994: 749). W</w:t>
      </w:r>
      <w:r>
        <w:t xml:space="preserve">omen held only five percent of fellowships at formerly male colleges but men held 43 percent of the fellowships at the two formerly female colleges who first admitted men in 1979 (DeWitt and Nixon 1988: 11).  </w:t>
      </w:r>
      <w:r w:rsidR="0038540F">
        <w:t xml:space="preserve">Hornsby et al. (1987: 2) calculated </w:t>
      </w:r>
      <w:r w:rsidR="00B44D41">
        <w:t xml:space="preserve">that </w:t>
      </w:r>
      <w:r w:rsidR="0038540F">
        <w:t xml:space="preserve">between the </w:t>
      </w:r>
      <w:r w:rsidR="00B44D41">
        <w:t xml:space="preserve">initial </w:t>
      </w:r>
      <w:r w:rsidR="0038540F">
        <w:t xml:space="preserve">year of coresidence and 1985 the mixed colleges appointed 216 men and 30 women.  In 1985 three-quarters of the formerly men’s colleges had either no or one woman in a permanent post.  At Cambridge the situation was similar: by 1985 women held only 9.4 percent of the fellowships at mixed colleges (Malkiel 2016: 532).  </w:t>
      </w:r>
      <w:r>
        <w:t>Part of the rea</w:t>
      </w:r>
      <w:r w:rsidR="0038540F">
        <w:t xml:space="preserve">son for this state of </w:t>
      </w:r>
      <w:r w:rsidR="0038540F">
        <w:lastRenderedPageBreak/>
        <w:t>affairs was that women were</w:t>
      </w:r>
      <w:r>
        <w:t xml:space="preserve"> much less likely than men to apply for these posts.  Of the 50 academic posts filled in 1988 there were no female applicants for 20 percent of them.  However, over the same period the number of women holding research fellowships increased from 29 to nearly 100 (Hart 1989: 219).  Hart predicted that many of the reasons for the “shortfall” </w:t>
      </w:r>
      <w:r w:rsidR="0038540F">
        <w:t xml:space="preserve">of women in academic posts </w:t>
      </w:r>
      <w:r>
        <w:t xml:space="preserve">should decrease as more women were appointed to Junior Research Fellowships and other research positions.  </w:t>
      </w:r>
    </w:p>
    <w:p w14:paraId="666EA1ED" w14:textId="416CCB19" w:rsidR="00551A87" w:rsidRDefault="00E06110" w:rsidP="00690B50">
      <w:pPr>
        <w:spacing w:line="480" w:lineRule="auto"/>
      </w:pPr>
      <w:r>
        <w:t xml:space="preserve">In contrast, </w:t>
      </w:r>
      <w:r w:rsidR="00690B50">
        <w:t>the appointment of men to academic positions in the women’</w:t>
      </w:r>
      <w:r>
        <w:t xml:space="preserve">s colleges </w:t>
      </w:r>
      <w:r w:rsidR="006D727F">
        <w:t xml:space="preserve">at Oxford </w:t>
      </w:r>
      <w:r>
        <w:t>moved very rapidly and, in the case of St Hugh’s, preceded cores</w:t>
      </w:r>
      <w:r w:rsidR="00DA72D9">
        <w:t xml:space="preserve">idence.  </w:t>
      </w:r>
      <w:r w:rsidR="00551A87">
        <w:t xml:space="preserve">At St. Anne’s the fellowship rapidly became mixed: between 1979 and 1991 nine fellows were added but only one was female (Smith 2012). </w:t>
      </w:r>
      <w:r w:rsidR="00071D77">
        <w:t>As Brock (1994: 749) concluded: “The women on college governing boards elected many men to fellowships: the men elected few women.”</w:t>
      </w:r>
    </w:p>
    <w:p w14:paraId="3D46F6CF" w14:textId="0A527816" w:rsidR="00FE67D3" w:rsidRDefault="00DA72D9" w:rsidP="00690B50">
      <w:pPr>
        <w:spacing w:line="480" w:lineRule="auto"/>
      </w:pPr>
      <w:r>
        <w:t>Table</w:t>
      </w:r>
      <w:r w:rsidR="006D727F">
        <w:t xml:space="preserve"> </w:t>
      </w:r>
      <w:r>
        <w:t>2</w:t>
      </w:r>
      <w:r w:rsidR="00E06110">
        <w:t xml:space="preserve"> shows the percentage of academic positions </w:t>
      </w:r>
      <w:r w:rsidR="000162B3">
        <w:t xml:space="preserve">held by women expressed as a percentage of those held by men </w:t>
      </w:r>
      <w:r w:rsidR="00E06110">
        <w:t xml:space="preserve">in the first </w:t>
      </w:r>
      <w:r w:rsidR="000162B3">
        <w:t xml:space="preserve">five </w:t>
      </w:r>
      <w:r w:rsidR="00E06110">
        <w:t xml:space="preserve">male colleges to adopt coresidence </w:t>
      </w:r>
      <w:r w:rsidR="000162B3">
        <w:t>and in the formerly women’s colleges</w:t>
      </w:r>
      <w:r w:rsidR="00D54D64">
        <w:t>.</w:t>
      </w:r>
      <w:r w:rsidR="00E06110">
        <w:t xml:space="preserve"> </w:t>
      </w:r>
      <w:r w:rsidR="00B44D41">
        <w:rPr>
          <w:rStyle w:val="FootnoteReference"/>
        </w:rPr>
        <w:footnoteReference w:id="16"/>
      </w:r>
      <w:r w:rsidR="00E06110">
        <w:t xml:space="preserve"> </w:t>
      </w:r>
      <w:r w:rsidR="00FE67D3">
        <w:t xml:space="preserve">Academic positions include fellows, research fellows, senior research fellows, junior research fellows, head of house, professorial fellows, supernumerary fellows, fixed-term fellows, canons with academic appointments, “additional” fellows, fellows by special election, and fellows not on foundation.  This is a broad definition of academic positions </w:t>
      </w:r>
      <w:r w:rsidR="00C22286">
        <w:t>and includes</w:t>
      </w:r>
      <w:r w:rsidR="00FE67D3">
        <w:t xml:space="preserve"> positions that colleges control wholly or with the </w:t>
      </w:r>
      <w:r>
        <w:t xml:space="preserve">University and </w:t>
      </w:r>
      <w:r w:rsidR="00C22286">
        <w:t xml:space="preserve">all </w:t>
      </w:r>
      <w:r>
        <w:t>are paths to inclusion in the academic life of the colleges and the University.</w:t>
      </w:r>
      <w:r w:rsidR="00FE67D3">
        <w:t xml:space="preserve">  Fellows on the Governing Body of colleges </w:t>
      </w:r>
      <w:r>
        <w:t>is a smaller group and has a lower representation of women and has changed more slowly than the broader definition of academic positions we employ.</w:t>
      </w:r>
    </w:p>
    <w:p w14:paraId="66774AC0" w14:textId="38ED8B72" w:rsidR="00690B50" w:rsidRDefault="00DA72D9" w:rsidP="00690B50">
      <w:pPr>
        <w:spacing w:line="480" w:lineRule="auto"/>
      </w:pPr>
      <w:r>
        <w:lastRenderedPageBreak/>
        <w:t xml:space="preserve">As can be seen in Table 2, </w:t>
      </w:r>
      <w:r w:rsidR="00C616CC">
        <w:t xml:space="preserve">in </w:t>
      </w:r>
      <w:r>
        <w:t>n</w:t>
      </w:r>
      <w:r w:rsidR="00E06110">
        <w:t xml:space="preserve">one of the </w:t>
      </w:r>
      <w:r w:rsidR="00D54D64">
        <w:t xml:space="preserve">formerly male </w:t>
      </w:r>
      <w:r w:rsidR="00E06110">
        <w:t xml:space="preserve">colleges </w:t>
      </w:r>
      <w:r w:rsidR="00C616CC">
        <w:t xml:space="preserve">did the percentage of positions held by women </w:t>
      </w:r>
      <w:r w:rsidR="00E06110">
        <w:t xml:space="preserve">exceeded 5 percent </w:t>
      </w:r>
      <w:r w:rsidR="00C616CC">
        <w:t xml:space="preserve">of the positions held by men </w:t>
      </w:r>
      <w:r w:rsidR="00E06110">
        <w:t xml:space="preserve">five years after coresidence.  It was not until 15 years after the initial admission of female undergraduates that </w:t>
      </w:r>
      <w:r w:rsidR="00C22286">
        <w:t xml:space="preserve">women in </w:t>
      </w:r>
      <w:r w:rsidR="00E06110">
        <w:t xml:space="preserve">any of the pioneering </w:t>
      </w:r>
      <w:r w:rsidR="00C22286">
        <w:t>male colleges held one-tenth of the positions held by men</w:t>
      </w:r>
      <w:r w:rsidR="00E06110">
        <w:t xml:space="preserve"> and it was forty years before one of them, Jesus, had </w:t>
      </w:r>
      <w:r w:rsidR="00C616CC">
        <w:t xml:space="preserve">females holding </w:t>
      </w:r>
      <w:r w:rsidR="00E06110">
        <w:t xml:space="preserve">half </w:t>
      </w:r>
      <w:r w:rsidR="00C616CC">
        <w:t xml:space="preserve">as many </w:t>
      </w:r>
      <w:r w:rsidR="00E06110">
        <w:t>o</w:t>
      </w:r>
      <w:r w:rsidR="003B1BC7">
        <w:t xml:space="preserve">f its academic positions </w:t>
      </w:r>
      <w:r w:rsidR="00C616CC">
        <w:t xml:space="preserve">as men. </w:t>
      </w:r>
      <w:r w:rsidR="003B1BC7">
        <w:t xml:space="preserve"> In two of the five pioneering college</w:t>
      </w:r>
      <w:r w:rsidR="00C616CC">
        <w:t>’</w:t>
      </w:r>
      <w:r w:rsidR="003B1BC7">
        <w:t xml:space="preserve">s </w:t>
      </w:r>
      <w:r w:rsidR="00C616CC">
        <w:t xml:space="preserve">women hold </w:t>
      </w:r>
      <w:r w:rsidR="003B1BC7">
        <w:t xml:space="preserve">only one-quarter </w:t>
      </w:r>
      <w:r w:rsidR="00C22286">
        <w:t xml:space="preserve">the number </w:t>
      </w:r>
      <w:r w:rsidR="003B1BC7">
        <w:t xml:space="preserve">of positions </w:t>
      </w:r>
      <w:r w:rsidR="00D54D64">
        <w:t xml:space="preserve">currently </w:t>
      </w:r>
      <w:r w:rsidR="003B1BC7">
        <w:t xml:space="preserve">occupied by </w:t>
      </w:r>
      <w:r w:rsidR="00C616CC">
        <w:t>men.</w:t>
      </w:r>
    </w:p>
    <w:p w14:paraId="472ED921" w14:textId="77777777" w:rsidR="004A4CBE" w:rsidRDefault="00690B50" w:rsidP="00690B50">
      <w:pPr>
        <w:spacing w:line="480" w:lineRule="auto"/>
      </w:pPr>
      <w:r>
        <w:t xml:space="preserve">Women’s colleges appear to have taken different approaches to changing the gender </w:t>
      </w:r>
      <w:r w:rsidR="00D54D64">
        <w:t xml:space="preserve">composition of </w:t>
      </w:r>
      <w:r w:rsidR="00C1224A">
        <w:t xml:space="preserve">their </w:t>
      </w:r>
      <w:r w:rsidR="00D54D64">
        <w:t>academic</w:t>
      </w:r>
      <w:r w:rsidR="00C1224A">
        <w:t xml:space="preserve"> staff</w:t>
      </w:r>
      <w:r>
        <w:t>.  The different approaches may reflect the different plans or cultures of the colleges.  For example, Trehub (2016) noted that “the original mission of female education and the woman’s ‘voice’ survives emphatically at Lady Margaret Hall (LMH)”, so much so that Trehub described LMH as “a woman’s-college-which-now-admits-men” while St</w:t>
      </w:r>
      <w:r w:rsidR="00C616CC">
        <w:t>.</w:t>
      </w:r>
      <w:r>
        <w:t xml:space="preserve"> Anne’s “comes across as if it has always had a student body diversified ...by gender”.  Similarly, Somerville aimed for equality in numbers of male and female students which may</w:t>
      </w:r>
      <w:r w:rsidR="00C1224A">
        <w:t xml:space="preserve"> have influenced its gender mix of fellows</w:t>
      </w:r>
      <w:r>
        <w:t xml:space="preserve">.  </w:t>
      </w:r>
      <w:r w:rsidR="003B1BC7">
        <w:t xml:space="preserve">While Lady Margaret Hall may have begun </w:t>
      </w:r>
      <w:r w:rsidR="004A4CBE">
        <w:t xml:space="preserve">coresidence as a predominantly </w:t>
      </w:r>
      <w:r w:rsidR="003B1BC7">
        <w:t xml:space="preserve">women’s college that admitted men, it quickly became </w:t>
      </w:r>
      <w:r w:rsidR="00D54D64">
        <w:t>something different.  W</w:t>
      </w:r>
      <w:r w:rsidR="003B1BC7">
        <w:t xml:space="preserve">omen held a majority of academic positions only until 1986 and ten years after </w:t>
      </w:r>
      <w:r w:rsidR="00D54D64">
        <w:t>coresidence</w:t>
      </w:r>
      <w:r w:rsidR="00490972">
        <w:t xml:space="preserve"> </w:t>
      </w:r>
      <w:r w:rsidR="003B1BC7">
        <w:t>women held about 60 percent as many academic posts as men.  That position has not changed.  St</w:t>
      </w:r>
      <w:r w:rsidR="00551A87">
        <w:t>.</w:t>
      </w:r>
      <w:r w:rsidR="003B1BC7">
        <w:t xml:space="preserve"> Anne’s has followed a similar path whereby men and women held an equal number of posts in the late 1980s but now women hold only forty percent as many posts as held by men.</w:t>
      </w:r>
      <w:r w:rsidR="00C4073F">
        <w:t xml:space="preserve">  </w:t>
      </w:r>
      <w:r w:rsidR="00490972">
        <w:t>At Somerville f</w:t>
      </w:r>
      <w:r w:rsidR="00C4073F">
        <w:t>ive years after coresidence women held three times as many academic posts as men.  By 2009 there were equal numbers of male and female academics but now men outnumber women at Somerville by two to one.  St Hilda’s has been the slowest of the former women’s colleges to appoint men.  Five years after coresidence women outnumbered men in academic positions by four to one and this had only fallen to three to one by 2015.  St</w:t>
      </w:r>
      <w:r w:rsidR="00551A87">
        <w:t>.</w:t>
      </w:r>
      <w:r w:rsidR="00C4073F">
        <w:t xml:space="preserve"> Hugh’s has traveled a very different path to the other former</w:t>
      </w:r>
      <w:r w:rsidR="00C22286">
        <w:t>ly</w:t>
      </w:r>
      <w:r w:rsidR="00C4073F">
        <w:t xml:space="preserve"> women’s colleges.  Although St Hugh’s was the third women’s college to admit male </w:t>
      </w:r>
      <w:r w:rsidR="00C4073F">
        <w:lastRenderedPageBreak/>
        <w:t>undergraduates</w:t>
      </w:r>
      <w:r w:rsidR="00D54D64">
        <w:t>, unl</w:t>
      </w:r>
      <w:r w:rsidR="00C22286">
        <w:t>ike the other women’s colleges</w:t>
      </w:r>
      <w:r w:rsidR="00C4073F">
        <w:t xml:space="preserve"> it elected males to academic positions several years before it </w:t>
      </w:r>
      <w:r w:rsidR="00D54D64">
        <w:t xml:space="preserve">admitted male undergraduates.  In the year </w:t>
      </w:r>
      <w:r w:rsidR="00EF5FA8">
        <w:t>St Hugh’s</w:t>
      </w:r>
      <w:r w:rsidR="00D54D64">
        <w:t xml:space="preserve"> first admitted undergraduate </w:t>
      </w:r>
      <w:r w:rsidR="00490972">
        <w:t xml:space="preserve">men </w:t>
      </w:r>
      <w:r w:rsidR="00D54D64">
        <w:t>there were slightly more men in academic posts than women and the appointment of men rapidly outpaced that of women by the early 1990s so that 15 years after coresidence women held only one-third as many academic appointments in the college as men and today it is less than twenty percent.</w:t>
      </w:r>
      <w:r w:rsidR="00AD4CD9">
        <w:t xml:space="preserve">  </w:t>
      </w:r>
    </w:p>
    <w:p w14:paraId="097B82A4" w14:textId="7A144A74" w:rsidR="00551A87" w:rsidRDefault="00AD4CD9" w:rsidP="00690B50">
      <w:pPr>
        <w:spacing w:line="480" w:lineRule="auto"/>
      </w:pPr>
      <w:r>
        <w:t>In 1974, the first year of coresidence, males held 924 academic positions in the colleges under study and women held 156 (</w:t>
      </w:r>
      <w:r w:rsidR="00946DD5">
        <w:t>17 percent</w:t>
      </w:r>
      <w:r w:rsidR="00C1224A">
        <w:t xml:space="preserve"> of positions held by men)</w:t>
      </w:r>
      <w:r w:rsidR="00946DD5">
        <w:t xml:space="preserve">.  In 2015 </w:t>
      </w:r>
      <w:r w:rsidR="00274A47">
        <w:t>males held 1,391 academic positions and females 554 (40 percent).  Thus</w:t>
      </w:r>
      <w:r w:rsidR="00FA4D55">
        <w:t>,</w:t>
      </w:r>
      <w:r w:rsidR="00274A47">
        <w:t xml:space="preserve"> the number of positions held by men increased by 50 percent but the number of positions held by women increased by a factor of 3.5.  </w:t>
      </w:r>
      <w:r w:rsidR="005D2276">
        <w:t>However, in 2015 there were six fewer women academics in the formerly women’s colleges than in 1974. Over the same period the women’s colleges add</w:t>
      </w:r>
      <w:r w:rsidR="004A4CBE">
        <w:t xml:space="preserve">ed 228 academic positions which, on net, </w:t>
      </w:r>
      <w:r w:rsidR="005D2276">
        <w:t xml:space="preserve">all went to men.  </w:t>
      </w:r>
      <w:r w:rsidR="00551A87">
        <w:t>It is possible that there were insufficient qualified women to fill the new positions but Hornsby et al. (1987</w:t>
      </w:r>
      <w:r w:rsidR="0023615D">
        <w:t xml:space="preserve">) dismiss this argument claiming that </w:t>
      </w:r>
      <w:r w:rsidR="00551A87">
        <w:t xml:space="preserve">the pool of potential </w:t>
      </w:r>
      <w:r w:rsidR="00837C53">
        <w:t xml:space="preserve">qualified </w:t>
      </w:r>
      <w:r w:rsidR="00551A87">
        <w:t>applicants far exceeded the number of appointments made.</w:t>
      </w:r>
    </w:p>
    <w:p w14:paraId="5BD68C0C" w14:textId="77777777" w:rsidR="00A150A4" w:rsidRDefault="00385B73" w:rsidP="00690B50">
      <w:pPr>
        <w:spacing w:line="480" w:lineRule="auto"/>
      </w:pPr>
      <w:r>
        <w:t>Table 3 show</w:t>
      </w:r>
      <w:r w:rsidR="009D15C1">
        <w:t>s</w:t>
      </w:r>
      <w:r>
        <w:t xml:space="preserve"> </w:t>
      </w:r>
      <w:r w:rsidR="009D15C1">
        <w:t>regression</w:t>
      </w:r>
      <w:r>
        <w:t xml:space="preserve"> results </w:t>
      </w:r>
      <w:r w:rsidR="009D15C1">
        <w:t>where the</w:t>
      </w:r>
      <w:r>
        <w:t xml:space="preserve"> percentage of academic positions in a college held by women </w:t>
      </w:r>
      <w:r w:rsidR="009D15C1">
        <w:t xml:space="preserve">is the outcome variable. </w:t>
      </w:r>
      <w:r w:rsidR="00271191">
        <w:t>C</w:t>
      </w:r>
      <w:r w:rsidR="009D15C1">
        <w:t xml:space="preserve">olumn (1) </w:t>
      </w:r>
      <w:r w:rsidR="00271191">
        <w:t xml:space="preserve">of the table </w:t>
      </w:r>
      <w:r w:rsidR="009D15C1">
        <w:t xml:space="preserve">presents the estimation results for a model that includes college fixed effects, year fixed effects, a dummy variable that equals one in years when a college </w:t>
      </w:r>
      <w:r w:rsidR="00271191">
        <w:t>has coresidence, the interaction of this coresidence variable with a dummy variable indicating whether the college was originally a women’s college, and a dummy variable indicating whether the head of college is male</w:t>
      </w:r>
      <w:r w:rsidR="00D446AA">
        <w:t>.</w:t>
      </w:r>
      <w:r w:rsidR="0023615D">
        <w:t xml:space="preserve"> </w:t>
      </w:r>
      <w:r w:rsidR="00D446AA">
        <w:t xml:space="preserve"> </w:t>
      </w:r>
      <w:r w:rsidR="00271191">
        <w:t xml:space="preserve">Column (2) of Table 3 presents the estimation results for a model that also includes a variable indicating whether a college was </w:t>
      </w:r>
      <w:r w:rsidR="00271191" w:rsidRPr="00271191">
        <w:rPr>
          <w:u w:val="single"/>
        </w:rPr>
        <w:t>no</w:t>
      </w:r>
      <w:r w:rsidR="00271191">
        <w:t>t in the first group of colleges to have coresidence in 1974 and the interaction of this variable with whether the college was originally a women’s college.</w:t>
      </w:r>
      <w:r w:rsidR="00321FBF">
        <w:t xml:space="preserve"> </w:t>
      </w:r>
    </w:p>
    <w:p w14:paraId="5ED5F6ED" w14:textId="1503E4EB" w:rsidR="009476AB" w:rsidRDefault="00321FBF" w:rsidP="00690B50">
      <w:pPr>
        <w:spacing w:line="480" w:lineRule="auto"/>
      </w:pPr>
      <w:r>
        <w:lastRenderedPageBreak/>
        <w:t>The estimates from column (1) imply that coresidence increased the percentage of female faculty members in colleges that were originally men’s colleges by</w:t>
      </w:r>
      <w:r w:rsidR="0081064C">
        <w:t xml:space="preserve"> a statistically significant</w:t>
      </w:r>
      <w:r>
        <w:t xml:space="preserve"> 9.7 percentage point</w:t>
      </w:r>
      <w:r w:rsidR="0081064C">
        <w:t>s</w:t>
      </w:r>
      <w:r>
        <w:t xml:space="preserve"> and decreased the percentage of female faculty members in colleges that were originally </w:t>
      </w:r>
      <w:r w:rsidR="0081064C">
        <w:t>wo</w:t>
      </w:r>
      <w:r>
        <w:t xml:space="preserve">men’s colleges </w:t>
      </w:r>
      <w:r w:rsidR="0081064C">
        <w:t>by a statistically significant 52.0 percentage points. The estimates from column (2)</w:t>
      </w:r>
      <w:r w:rsidR="009476AB">
        <w:t xml:space="preserve"> indicate that</w:t>
      </w:r>
      <w:r w:rsidR="00A150A4">
        <w:t xml:space="preserve"> coresidence increased the percentage of female faculty members in colleges that were originally men’s colleges by a statistically significant 7.7 percentage points and decreased the percentage of female faculty members in colleges that were originally women’s colleges by a statistically significant 50.7 percentage points. Moreover, the results show that the percentage of female faculty members in men’s colleges that did </w:t>
      </w:r>
      <w:r w:rsidR="009476AB">
        <w:t xml:space="preserve">not </w:t>
      </w:r>
      <w:r w:rsidR="00A150A4">
        <w:t xml:space="preserve">initiate coresidence in 1974 </w:t>
      </w:r>
      <w:r w:rsidR="009476AB">
        <w:t>increased by a</w:t>
      </w:r>
      <w:r w:rsidR="00A150A4">
        <w:t xml:space="preserve"> statistically significant 1.7% </w:t>
      </w:r>
      <w:r w:rsidR="009476AB">
        <w:t>percentage points while after 1974 women’s colleges reduced their percentage of female faculty members by a statistically significant 6.8% percentage points</w:t>
      </w:r>
      <w:r w:rsidR="00A150A4">
        <w:t xml:space="preserve">. </w:t>
      </w:r>
      <w:r w:rsidR="00433502">
        <w:t xml:space="preserve">In both estimations, we also find that a male head of college </w:t>
      </w:r>
      <w:r w:rsidR="004A4CBE">
        <w:t xml:space="preserve">was associated with a </w:t>
      </w:r>
      <w:r w:rsidR="00433502">
        <w:t>sta</w:t>
      </w:r>
      <w:r w:rsidR="004A4CBE">
        <w:t>tistically significantly lower</w:t>
      </w:r>
      <w:r w:rsidR="00433502">
        <w:t xml:space="preserve"> percentage of female faculty.</w:t>
      </w:r>
    </w:p>
    <w:p w14:paraId="0BA9D7E5" w14:textId="6DD5AD2B" w:rsidR="009D15C1" w:rsidRDefault="00A150A4" w:rsidP="00690B50">
      <w:pPr>
        <w:spacing w:line="480" w:lineRule="auto"/>
      </w:pPr>
      <w:r>
        <w:t xml:space="preserve"> </w:t>
      </w:r>
      <w:r w:rsidR="009476AB">
        <w:t xml:space="preserve">In Table 4 we present estimates that allow the effects of coresidence to vary over time.  Specifically, we allow for effects </w:t>
      </w:r>
      <w:r w:rsidR="006C4B6E">
        <w:t xml:space="preserve">to vary </w:t>
      </w:r>
      <w:r w:rsidR="009476AB">
        <w:t xml:space="preserve">two years prior to coresidence and for nine years post coresidence.  Again, the model estimates in column (2) of the table differ from that of column (1) in that </w:t>
      </w:r>
      <w:r w:rsidR="00974F92">
        <w:t>they also include</w:t>
      </w:r>
      <w:r w:rsidR="009476AB">
        <w:t xml:space="preserve"> a variable indicating whether a college was </w:t>
      </w:r>
      <w:r w:rsidR="009476AB" w:rsidRPr="00271191">
        <w:rPr>
          <w:u w:val="single"/>
        </w:rPr>
        <w:t>no</w:t>
      </w:r>
      <w:r w:rsidR="009476AB">
        <w:t>t in the first group of colleges to have coresidence in 1974 and the interaction of this variable with whether the college was originally a women’s college</w:t>
      </w:r>
      <w:r w:rsidR="00974F92">
        <w:t>.  Figure</w:t>
      </w:r>
      <w:r w:rsidR="00FA4D55">
        <w:t>s</w:t>
      </w:r>
      <w:r w:rsidR="00974F92">
        <w:t xml:space="preserve"> </w:t>
      </w:r>
      <w:r w:rsidR="00FA4D55">
        <w:t>3</w:t>
      </w:r>
      <w:r w:rsidR="00974F92">
        <w:t xml:space="preserve"> and </w:t>
      </w:r>
      <w:r w:rsidR="00FA4D55">
        <w:t>4</w:t>
      </w:r>
      <w:r w:rsidR="00974F92">
        <w:t xml:space="preserve"> graph the estimated effects of coresidence over time, along with the 95% upper and lower confidence levels</w:t>
      </w:r>
      <w:r w:rsidR="00EA1800">
        <w:t xml:space="preserve"> (UCL and LCL)</w:t>
      </w:r>
      <w:r w:rsidR="00974F92">
        <w:t>, for originally women’s and men’s colleges, respectively.</w:t>
      </w:r>
      <w:r w:rsidR="00D82266">
        <w:t xml:space="preserve"> As can be seen from the </w:t>
      </w:r>
      <w:r w:rsidR="00EA1800">
        <w:t>f</w:t>
      </w:r>
      <w:r w:rsidR="00D82266">
        <w:t>igures</w:t>
      </w:r>
      <w:r w:rsidR="00EA1800">
        <w:t>,</w:t>
      </w:r>
      <w:r w:rsidR="00D82266">
        <w:t xml:space="preserve"> the magnitude of the effect increased over time for both women’s and men’s colleges. Moreover, there appears to be some evidence that women’s colleges decreased their percentage of female faculty just before becoming coresident </w:t>
      </w:r>
      <w:r w:rsidR="00F4683D">
        <w:t>while</w:t>
      </w:r>
      <w:r w:rsidR="00D82266">
        <w:t xml:space="preserve"> men’s colleges increased their percentage of female faculty just before becoming coresident. </w:t>
      </w:r>
      <w:r w:rsidR="00D446AA">
        <w:t xml:space="preserve">These results support the conclusions reached above </w:t>
      </w:r>
      <w:r w:rsidR="00D446AA">
        <w:lastRenderedPageBreak/>
        <w:t>that coresidence improved the employment position of female academics at the men’s colleges and worsened it at the women’s colleges.</w:t>
      </w:r>
      <w:r w:rsidR="00EA1800">
        <w:t xml:space="preserve"> </w:t>
      </w:r>
      <w:r w:rsidR="00433502">
        <w:t>In these estimations</w:t>
      </w:r>
      <w:r w:rsidR="00F4683D">
        <w:t xml:space="preserve"> that allow for time varying coresidence effects</w:t>
      </w:r>
      <w:r w:rsidR="00433502">
        <w:t xml:space="preserve">, we continue to find that a male head of college </w:t>
      </w:r>
      <w:r w:rsidR="004A4CBE">
        <w:t xml:space="preserve">was associated with a </w:t>
      </w:r>
      <w:r w:rsidR="00433502">
        <w:t>sta</w:t>
      </w:r>
      <w:r w:rsidR="004A4CBE">
        <w:t>tistically significantly lower</w:t>
      </w:r>
      <w:r w:rsidR="00433502">
        <w:t xml:space="preserve"> percentage of female faculty.</w:t>
      </w:r>
    </w:p>
    <w:p w14:paraId="624F8DB7" w14:textId="5F24E5F0" w:rsidR="00690B50" w:rsidRDefault="004A4CBE" w:rsidP="00690B50">
      <w:pPr>
        <w:spacing w:line="480" w:lineRule="auto"/>
      </w:pPr>
      <w:r>
        <w:t xml:space="preserve">A positive </w:t>
      </w:r>
      <w:r w:rsidR="005D2276">
        <w:t xml:space="preserve">impact of coresidence </w:t>
      </w:r>
      <w:r>
        <w:t xml:space="preserve">on the employment of female faculty </w:t>
      </w:r>
      <w:r w:rsidR="005D2276">
        <w:t>was felt because of the expansion of numbers of women in the men’s colleges rather than in the women’s colleges.</w:t>
      </w:r>
      <w:r w:rsidR="000162B3">
        <w:t xml:space="preserve"> Lady Mary Ogilvie and Peter</w:t>
      </w:r>
      <w:r w:rsidR="000254C5">
        <w:t xml:space="preserve"> </w:t>
      </w:r>
      <w:r w:rsidR="000162B3">
        <w:t>Ady of</w:t>
      </w:r>
      <w:r w:rsidR="000254C5">
        <w:t xml:space="preserve"> </w:t>
      </w:r>
      <w:r w:rsidR="00C616CC">
        <w:t>St</w:t>
      </w:r>
      <w:r w:rsidR="000162B3">
        <w:t xml:space="preserve"> Anne’s were not correct </w:t>
      </w:r>
      <w:r w:rsidR="00EF1525">
        <w:t>when they</w:t>
      </w:r>
      <w:r w:rsidR="000254C5">
        <w:t xml:space="preserve"> predicted that coresidence would cause a fall in</w:t>
      </w:r>
      <w:r w:rsidR="00EF1525">
        <w:t xml:space="preserve"> the overall number of female academics.  But they would most likely have been surprised that this did occur at the women’s colleges.</w:t>
      </w:r>
      <w:r w:rsidR="000254C5">
        <w:t xml:space="preserve"> </w:t>
      </w:r>
    </w:p>
    <w:p w14:paraId="20FC91E7" w14:textId="0533B339" w:rsidR="007A6E42" w:rsidRDefault="00EF1525" w:rsidP="00690B50">
      <w:pPr>
        <w:spacing w:line="480" w:lineRule="auto"/>
      </w:pPr>
      <w:r>
        <w:t>Ogilvie and Ady were also concerned that the number of female administrators would decline.  A key administrative appointment that could potentially have a significant impact on the culture and practices of a college and it</w:t>
      </w:r>
      <w:r w:rsidR="00657B7E">
        <w:t>s</w:t>
      </w:r>
      <w:r>
        <w:t xml:space="preserve"> students is the Head of House</w:t>
      </w:r>
      <w:r w:rsidR="00657B7E">
        <w:t xml:space="preserve"> (head of college)</w:t>
      </w:r>
      <w:r w:rsidR="004A4CBE">
        <w:t xml:space="preserve"> as the regression results in Table 3 show</w:t>
      </w:r>
      <w:r>
        <w:t xml:space="preserve">. Since the beginning of coresidence there have been 119 appointments of Head of House at formerly male colleges. </w:t>
      </w:r>
      <w:r w:rsidR="001E356A">
        <w:t xml:space="preserve"> Of these seven have been women, the first appointed in 1993 and two more the year after.  None of the original five </w:t>
      </w:r>
      <w:r w:rsidR="0023615D">
        <w:t xml:space="preserve">male </w:t>
      </w:r>
      <w:r w:rsidR="001E356A">
        <w:t>colleges to adopt coresidence have appointed a female head and of the 68 appointments of head at the next 13 male colleges to admit women only five appointments we</w:t>
      </w:r>
      <w:r w:rsidR="0023615D">
        <w:t>nt to women.  The odds of a woma</w:t>
      </w:r>
      <w:r w:rsidR="001E356A">
        <w:t xml:space="preserve">n being appointed Head of House at a formerly male college are 1 in 16.  In contrast at the formerly women’s colleges there have been 25 appointments of Head of which seven have gone to men.  The odds of a man being appointed head of a women’s college are 1 in 4.  </w:t>
      </w:r>
      <w:r w:rsidR="007A6E42">
        <w:t xml:space="preserve">Without knowing the ratio of women to men in the application pool that meet the qualification for Head of House one cannot conclude that these odds present a prima facie case of bias.  </w:t>
      </w:r>
      <w:r w:rsidR="00D446AA">
        <w:t xml:space="preserve">The regression results reported in Table 3 underline the importance of the gender of the person heading the college: where the head is male, the employment of women in academic positions in the college is eight percentage points lower than where the head is female.  Because we are controlling for college </w:t>
      </w:r>
      <w:r w:rsidR="00D446AA">
        <w:lastRenderedPageBreak/>
        <w:t>fixed effects this result cannot be explained by “college culture” or other college specific effects nor because we are controlling for year fixed effects can it be explained by “but this just reflects the times in which male head X served”.</w:t>
      </w:r>
    </w:p>
    <w:p w14:paraId="14761E64" w14:textId="300D4F8D" w:rsidR="001E356A" w:rsidRDefault="001E356A" w:rsidP="00690B50">
      <w:pPr>
        <w:spacing w:line="480" w:lineRule="auto"/>
      </w:pPr>
      <w:r>
        <w:t>Hornsby et al. (1987</w:t>
      </w:r>
      <w:r w:rsidR="00192263">
        <w:t>:3</w:t>
      </w:r>
      <w:r>
        <w:t>) argued that “it is critical for both female and male students to see men and women in positions of equal standing and academic authority if they are to receive the rounded education that Oxford aspires to provide</w:t>
      </w:r>
      <w:r w:rsidR="00192263">
        <w:t xml:space="preserve">”. They further argued that “so long as women remain in a small minority in positions of authority in universities, those institutions will remain powerless to influence attitudes to the role of women in society”.  To the extent that the representation of women among Heads of House and among academic positions reflects the position of women in senior positions in the University- with the exception of the </w:t>
      </w:r>
      <w:r w:rsidR="0023615D">
        <w:t xml:space="preserve">current </w:t>
      </w:r>
      <w:r w:rsidR="00192263">
        <w:t xml:space="preserve">Vice Chancellor- Oxford </w:t>
      </w:r>
      <w:r w:rsidR="007A6E42">
        <w:t xml:space="preserve">appears to have </w:t>
      </w:r>
      <w:r w:rsidR="00192263">
        <w:t>a way to go before it has sufficient female role models for students and can speak with authority about the role of women in society.</w:t>
      </w:r>
    </w:p>
    <w:p w14:paraId="1278A325" w14:textId="071A2F71" w:rsidR="00690B50" w:rsidRPr="00907411" w:rsidRDefault="00907411" w:rsidP="00B8083C">
      <w:pPr>
        <w:spacing w:line="480" w:lineRule="auto"/>
        <w:rPr>
          <w:rFonts w:eastAsiaTheme="minorEastAsia"/>
        </w:rPr>
      </w:pPr>
      <w:r>
        <w:rPr>
          <w:rFonts w:eastAsiaTheme="minorEastAsia"/>
          <w:b/>
        </w:rPr>
        <w:t>Hypothesis 5</w:t>
      </w:r>
    </w:p>
    <w:p w14:paraId="6E82BB72" w14:textId="4E10F9A9" w:rsidR="00D82266" w:rsidRDefault="00907411" w:rsidP="00B8083C">
      <w:pPr>
        <w:spacing w:line="480" w:lineRule="auto"/>
        <w:rPr>
          <w:rFonts w:eastAsiaTheme="minorEastAsia"/>
        </w:rPr>
      </w:pPr>
      <w:r w:rsidRPr="00907411">
        <w:rPr>
          <w:rFonts w:eastAsiaTheme="minorEastAsia"/>
        </w:rPr>
        <w:t xml:space="preserve">The regression results reported in Table </w:t>
      </w:r>
      <w:r w:rsidR="00D82266">
        <w:rPr>
          <w:rFonts w:eastAsiaTheme="minorEastAsia"/>
        </w:rPr>
        <w:t xml:space="preserve">5 and 6 provide </w:t>
      </w:r>
      <w:r>
        <w:rPr>
          <w:rFonts w:eastAsiaTheme="minorEastAsia"/>
        </w:rPr>
        <w:t xml:space="preserve">support </w:t>
      </w:r>
      <w:r w:rsidR="004A4CBE">
        <w:rPr>
          <w:rFonts w:eastAsiaTheme="minorEastAsia"/>
        </w:rPr>
        <w:t xml:space="preserve">for </w:t>
      </w:r>
      <w:r>
        <w:rPr>
          <w:rFonts w:eastAsiaTheme="minorEastAsia"/>
        </w:rPr>
        <w:t xml:space="preserve">the wisdom of fellows in the male colleges </w:t>
      </w:r>
      <w:r w:rsidR="006537ED">
        <w:rPr>
          <w:rFonts w:eastAsiaTheme="minorEastAsia"/>
        </w:rPr>
        <w:t xml:space="preserve">who first adopted coresidence who saw it as a way to improve their </w:t>
      </w:r>
      <w:r>
        <w:rPr>
          <w:rFonts w:eastAsiaTheme="minorEastAsia"/>
        </w:rPr>
        <w:t>academic standing in the university and justify the fears of fellows in the women’s colleges that they would lose the</w:t>
      </w:r>
      <w:r w:rsidR="00621509">
        <w:rPr>
          <w:rFonts w:eastAsiaTheme="minorEastAsia"/>
        </w:rPr>
        <w:t>ir brightest prospective students</w:t>
      </w:r>
      <w:r w:rsidR="00621509" w:rsidRPr="00621509">
        <w:rPr>
          <w:rFonts w:eastAsiaTheme="minorEastAsia"/>
        </w:rPr>
        <w:t xml:space="preserve"> </w:t>
      </w:r>
      <w:r w:rsidR="00621509">
        <w:rPr>
          <w:rFonts w:eastAsiaTheme="minorEastAsia"/>
        </w:rPr>
        <w:t xml:space="preserve">and thus their position near the top of the Norrington Table.  </w:t>
      </w:r>
      <w:r w:rsidR="00D82266">
        <w:rPr>
          <w:rFonts w:eastAsiaTheme="minorEastAsia"/>
        </w:rPr>
        <w:t>These tables present estimates for models similar to those presented in Tables 3 and 4 except that now the dependent variable is the college’s Norrington ranking</w:t>
      </w:r>
      <w:r w:rsidR="00B93296">
        <w:rPr>
          <w:rFonts w:eastAsiaTheme="minorEastAsia"/>
        </w:rPr>
        <w:t xml:space="preserve"> and they also include the percentage of female faculty as a control variable</w:t>
      </w:r>
      <w:r w:rsidR="00D82266">
        <w:rPr>
          <w:rFonts w:eastAsiaTheme="minorEastAsia"/>
        </w:rPr>
        <w:t>.</w:t>
      </w:r>
    </w:p>
    <w:p w14:paraId="34F7A29F" w14:textId="127DEEC6" w:rsidR="004A4CBE" w:rsidRDefault="00621509" w:rsidP="00B8083C">
      <w:pPr>
        <w:spacing w:line="480" w:lineRule="auto"/>
        <w:rPr>
          <w:rFonts w:eastAsiaTheme="minorEastAsia"/>
        </w:rPr>
      </w:pPr>
      <w:r>
        <w:rPr>
          <w:rFonts w:eastAsiaTheme="minorEastAsia"/>
        </w:rPr>
        <w:t xml:space="preserve">From </w:t>
      </w:r>
      <w:r w:rsidR="00D82266">
        <w:rPr>
          <w:rFonts w:eastAsiaTheme="minorEastAsia"/>
        </w:rPr>
        <w:t>column (</w:t>
      </w:r>
      <w:r>
        <w:rPr>
          <w:rFonts w:eastAsiaTheme="minorEastAsia"/>
        </w:rPr>
        <w:t>1</w:t>
      </w:r>
      <w:r w:rsidR="00D82266">
        <w:rPr>
          <w:rFonts w:eastAsiaTheme="minorEastAsia"/>
        </w:rPr>
        <w:t>) of Table 5</w:t>
      </w:r>
      <w:r>
        <w:rPr>
          <w:rFonts w:eastAsiaTheme="minorEastAsia"/>
        </w:rPr>
        <w:t xml:space="preserve"> we see that adopting coresidence improved the Norrington rank of formerly men’s colleges by</w:t>
      </w:r>
      <w:r w:rsidR="00B93296">
        <w:rPr>
          <w:rFonts w:eastAsiaTheme="minorEastAsia"/>
        </w:rPr>
        <w:t xml:space="preserve"> a statistically significant</w:t>
      </w:r>
      <w:r>
        <w:rPr>
          <w:rFonts w:eastAsiaTheme="minorEastAsia"/>
        </w:rPr>
        <w:t xml:space="preserve"> 5 places (a </w:t>
      </w:r>
      <w:r w:rsidR="00657B7E">
        <w:rPr>
          <w:rFonts w:eastAsiaTheme="minorEastAsia"/>
        </w:rPr>
        <w:t>larger rank number</w:t>
      </w:r>
      <w:r>
        <w:rPr>
          <w:rFonts w:eastAsiaTheme="minorEastAsia"/>
        </w:rPr>
        <w:t xml:space="preserve"> is a decrease in academic results) but admitting men had no impact on the rank of the women’s colleges (the interaction term </w:t>
      </w:r>
      <w:r>
        <w:rPr>
          <w:rFonts w:eastAsiaTheme="minorEastAsia"/>
        </w:rPr>
        <w:lastRenderedPageBreak/>
        <w:t xml:space="preserve">cancels out the impact of the direct effect).  </w:t>
      </w:r>
      <w:r w:rsidR="00B93296">
        <w:rPr>
          <w:rFonts w:eastAsiaTheme="minorEastAsia"/>
        </w:rPr>
        <w:t>In column (2)</w:t>
      </w:r>
      <w:r>
        <w:rPr>
          <w:rFonts w:eastAsiaTheme="minorEastAsia"/>
        </w:rPr>
        <w:t xml:space="preserve"> we see that the initial wave of coresidence in 1974 had no impact on the academic success of the other men’s colleges but it did have a significant negative impact on the women’s colleges worsening their ranking by </w:t>
      </w:r>
      <w:r w:rsidR="004A4CBE">
        <w:rPr>
          <w:rFonts w:eastAsiaTheme="minorEastAsia"/>
        </w:rPr>
        <w:t>about</w:t>
      </w:r>
      <w:r>
        <w:rPr>
          <w:rFonts w:eastAsiaTheme="minorEastAsia"/>
        </w:rPr>
        <w:t xml:space="preserve"> eight places</w:t>
      </w:r>
      <w:r w:rsidR="006537ED">
        <w:rPr>
          <w:rFonts w:eastAsiaTheme="minorEastAsia"/>
        </w:rPr>
        <w:t xml:space="preserve"> and improved the ranking of the men’s colleges who first adopted coresidence by three places.</w:t>
      </w:r>
      <w:r>
        <w:rPr>
          <w:rFonts w:eastAsiaTheme="minorEastAsia"/>
        </w:rPr>
        <w:t xml:space="preserve">. </w:t>
      </w:r>
      <w:r w:rsidR="00182D64">
        <w:rPr>
          <w:rFonts w:eastAsiaTheme="minorEastAsia"/>
        </w:rPr>
        <w:t xml:space="preserve"> </w:t>
      </w:r>
      <w:r w:rsidR="00953A15">
        <w:rPr>
          <w:rFonts w:eastAsiaTheme="minorEastAsia"/>
        </w:rPr>
        <w:t xml:space="preserve">The </w:t>
      </w:r>
      <w:r w:rsidR="00EA1800">
        <w:rPr>
          <w:rFonts w:eastAsiaTheme="minorEastAsia"/>
        </w:rPr>
        <w:t xml:space="preserve">graphs of the </w:t>
      </w:r>
      <w:r w:rsidR="00953A15">
        <w:rPr>
          <w:rFonts w:eastAsiaTheme="minorEastAsia"/>
        </w:rPr>
        <w:t xml:space="preserve">implied estimates from Table 6 of the effect of coresidence on Norrington </w:t>
      </w:r>
      <w:r w:rsidR="00EA1800">
        <w:rPr>
          <w:rFonts w:eastAsiaTheme="minorEastAsia"/>
        </w:rPr>
        <w:t xml:space="preserve">rankings over time for women’s </w:t>
      </w:r>
      <w:r w:rsidR="00953A15">
        <w:rPr>
          <w:rFonts w:eastAsiaTheme="minorEastAsia"/>
        </w:rPr>
        <w:t>and men’s colleges are</w:t>
      </w:r>
      <w:r w:rsidR="00EA1800">
        <w:rPr>
          <w:rFonts w:eastAsiaTheme="minorEastAsia"/>
        </w:rPr>
        <w:t xml:space="preserve"> presented in Figure</w:t>
      </w:r>
      <w:r w:rsidR="00FA4D55">
        <w:rPr>
          <w:rFonts w:eastAsiaTheme="minorEastAsia"/>
        </w:rPr>
        <w:t>s</w:t>
      </w:r>
      <w:r w:rsidR="00EA1800">
        <w:rPr>
          <w:rFonts w:eastAsiaTheme="minorEastAsia"/>
        </w:rPr>
        <w:t xml:space="preserve"> </w:t>
      </w:r>
      <w:r w:rsidR="00FA4D55">
        <w:rPr>
          <w:rFonts w:eastAsiaTheme="minorEastAsia"/>
        </w:rPr>
        <w:t>5</w:t>
      </w:r>
      <w:r w:rsidR="00EA1800">
        <w:rPr>
          <w:rFonts w:eastAsiaTheme="minorEastAsia"/>
        </w:rPr>
        <w:t xml:space="preserve"> and </w:t>
      </w:r>
      <w:r w:rsidR="00FA4D55">
        <w:rPr>
          <w:rFonts w:eastAsiaTheme="minorEastAsia"/>
        </w:rPr>
        <w:t>6</w:t>
      </w:r>
      <w:r w:rsidR="00EA1800">
        <w:rPr>
          <w:rFonts w:eastAsiaTheme="minorEastAsia"/>
        </w:rPr>
        <w:t xml:space="preserve"> along with the 95% UCL and LCL.  In general, the estimates are more imprecise than those for the percentage of female faculty and are mostly statistically insignificant for both men’s and women’s colleges (although one can reject the null hypothesis that the effects are equal over time, p-value &lt; 0.001). The estimates of column (2) of Table 6 however, still show that the initial wave of coresidence in 1974 had a significant negative impact on the women’s colleges</w:t>
      </w:r>
      <w:r w:rsidR="004A4CBE">
        <w:rPr>
          <w:rFonts w:eastAsiaTheme="minorEastAsia"/>
        </w:rPr>
        <w:t>’</w:t>
      </w:r>
      <w:r w:rsidR="00EA1800">
        <w:rPr>
          <w:rFonts w:eastAsiaTheme="minorEastAsia"/>
        </w:rPr>
        <w:t xml:space="preserve"> rankings. </w:t>
      </w:r>
    </w:p>
    <w:p w14:paraId="129AA98B" w14:textId="1B267432" w:rsidR="00907411" w:rsidRPr="00907411" w:rsidRDefault="00182D64" w:rsidP="00B8083C">
      <w:pPr>
        <w:spacing w:line="480" w:lineRule="auto"/>
        <w:rPr>
          <w:rFonts w:eastAsiaTheme="minorEastAsia"/>
        </w:rPr>
      </w:pPr>
      <w:r>
        <w:rPr>
          <w:rFonts w:eastAsiaTheme="minorEastAsia"/>
        </w:rPr>
        <w:t xml:space="preserve">The comments made by Balsdon and Bell referred to above imply that female academics would produce inferior academic results from their students than if those students were taught by men.  There is no empirical support for this view- the percentage of female fellows had no impact on a college’s Norrington rank.  </w:t>
      </w:r>
      <w:r w:rsidR="00EA1800">
        <w:rPr>
          <w:rFonts w:eastAsiaTheme="minorEastAsia"/>
        </w:rPr>
        <w:t>However,</w:t>
      </w:r>
      <w:r>
        <w:rPr>
          <w:rFonts w:eastAsiaTheme="minorEastAsia"/>
        </w:rPr>
        <w:t xml:space="preserve"> </w:t>
      </w:r>
      <w:r w:rsidR="00EA1800">
        <w:rPr>
          <w:rFonts w:eastAsiaTheme="minorEastAsia"/>
        </w:rPr>
        <w:t>there is some evidence from Table 6 that a male head of college improved the college’s</w:t>
      </w:r>
      <w:r>
        <w:rPr>
          <w:rFonts w:eastAsiaTheme="minorEastAsia"/>
        </w:rPr>
        <w:t xml:space="preserve"> Norrington rank.</w:t>
      </w:r>
    </w:p>
    <w:p w14:paraId="39177A7D" w14:textId="77777777" w:rsidR="00B8083C" w:rsidRDefault="00DC07B5" w:rsidP="0011722E">
      <w:pPr>
        <w:spacing w:line="480" w:lineRule="auto"/>
        <w:rPr>
          <w:b/>
        </w:rPr>
      </w:pPr>
      <w:r>
        <w:rPr>
          <w:b/>
        </w:rPr>
        <w:t>Conclusion</w:t>
      </w:r>
    </w:p>
    <w:p w14:paraId="3AA2EBCF" w14:textId="5595DF25" w:rsidR="00650C16" w:rsidRDefault="0057764B" w:rsidP="0011722E">
      <w:pPr>
        <w:spacing w:line="480" w:lineRule="auto"/>
      </w:pPr>
      <w:r>
        <w:t>Oxford in the 1960s and early 1970s debated how to increase the representation of women among it</w:t>
      </w:r>
      <w:r w:rsidR="00657B7E">
        <w:t>s</w:t>
      </w:r>
      <w:r>
        <w:t xml:space="preserve"> student body.  Coresidence, </w:t>
      </w:r>
      <w:r w:rsidR="00650C16">
        <w:t xml:space="preserve">initially </w:t>
      </w:r>
      <w:r>
        <w:t>the admission of female undergraduates to men’s coll</w:t>
      </w:r>
      <w:r w:rsidR="00650C16">
        <w:t>e</w:t>
      </w:r>
      <w:r>
        <w:t>ges</w:t>
      </w:r>
      <w:r w:rsidR="00650C16">
        <w:t xml:space="preserve">, was the vehicle chosen.  A decade of often heated debate resulted in support from the men’s colleges because they thought that it would allow them to attract bright female students and rid themselves of the dullest of their male applicants resulting in improved examination results and an improvement in their Norrington Table ranking.  Strong opposition was expressed by the women’s colleges because they </w:t>
      </w:r>
      <w:r w:rsidR="00650C16">
        <w:lastRenderedPageBreak/>
        <w:t>believed they would lose their brightest female students to the mixed colleges, be stuck with dull male students and fellows, lose their place at the top of the Norrington Table, and women would lose academic jobs to men.</w:t>
      </w:r>
      <w:r w:rsidR="00D10ECA">
        <w:t xml:space="preserve">  There was also concern as to whether sufficient additional bright young women existed to fill additional places at Oxford.</w:t>
      </w:r>
    </w:p>
    <w:p w14:paraId="536ADCB7" w14:textId="50D2E5CE" w:rsidR="00890FC8" w:rsidRDefault="00650C16" w:rsidP="0011722E">
      <w:pPr>
        <w:spacing w:line="480" w:lineRule="auto"/>
      </w:pPr>
      <w:r>
        <w:t xml:space="preserve">In this paper we have presented empirical data from existing sources and </w:t>
      </w:r>
      <w:r w:rsidR="004A4CBE">
        <w:t xml:space="preserve">new </w:t>
      </w:r>
      <w:r>
        <w:t xml:space="preserve">econometric analysis to test these hypotheses. </w:t>
      </w:r>
      <w:r w:rsidR="00657B7E">
        <w:t xml:space="preserve"> The men’s colleges were wise to</w:t>
      </w:r>
      <w:r>
        <w:t xml:space="preserve"> adopt coresidence.  They were able to attract bright young women and rid themselves of dull young men.  As a consequence, they improved their academic results and their standing in the Norrington Table.</w:t>
      </w:r>
      <w:r w:rsidR="00890FC8">
        <w:t xml:space="preserve"> </w:t>
      </w:r>
      <w:r w:rsidR="00D10ECA">
        <w:t xml:space="preserve"> In </w:t>
      </w:r>
      <w:r w:rsidR="00890FC8">
        <w:t xml:space="preserve">a brief overview of the history of women’s colleges at Oxford, Lucy Prochaska, then Principal of Somerville, wondered why the “collective record of the women’s colleges does not translate into a more brightly shining identity” (Prochaska 2014: 11).  </w:t>
      </w:r>
      <w:r w:rsidR="00D10ECA">
        <w:t xml:space="preserve">The answer may lie in what Peter Ady feared would be a consequence of coresidence: </w:t>
      </w:r>
      <w:r w:rsidR="00890FC8">
        <w:t>the “relative decline, or even in time an eclipse” of the women’s colleges (Ady 1964: 138).</w:t>
      </w:r>
      <w:r w:rsidR="00D10ECA">
        <w:t xml:space="preserve">  We have shown that the examination results of women at the mixed colleges exceeded those of women at the women’s colleges, consistent with the fear that the mixed </w:t>
      </w:r>
      <w:r w:rsidR="004A4CBE">
        <w:t>colleges would “skim the cream” of bright female students.</w:t>
      </w:r>
      <w:r w:rsidR="00D10ECA">
        <w:t xml:space="preserve">  Coresidence also resulted in very large falls in the Norrington Table for the women’s colleges.  Fears of a lack of sufficient additional bright young women to fill places at the University were unfounded.</w:t>
      </w:r>
    </w:p>
    <w:p w14:paraId="45A23D8F" w14:textId="550B3BFB" w:rsidR="00472677" w:rsidRDefault="00D10ECA" w:rsidP="0011722E">
      <w:pPr>
        <w:spacing w:line="480" w:lineRule="auto"/>
      </w:pPr>
      <w:r>
        <w:t xml:space="preserve">We have also shown that coresidence resulted in a </w:t>
      </w:r>
      <w:r w:rsidR="00E127F8">
        <w:t xml:space="preserve">very slow increase in women academics employed at formerly men’s colleges but a very rapid increase in men employed at the former women’s colleges. </w:t>
      </w:r>
      <w:r w:rsidR="002F3716">
        <w:t>While it is true that the number of women holding academic positions has increased substantially</w:t>
      </w:r>
      <w:r w:rsidR="00657B7E">
        <w:t xml:space="preserve"> this has happened only at the formerly men’s colleges</w:t>
      </w:r>
      <w:r w:rsidR="002F3716">
        <w:t xml:space="preserve">, </w:t>
      </w:r>
      <w:r w:rsidR="00657B7E">
        <w:t xml:space="preserve">and, </w:t>
      </w:r>
      <w:r w:rsidR="002F3716">
        <w:t xml:space="preserve">as Brock noted, </w:t>
      </w:r>
      <w:r w:rsidR="007A44B4">
        <w:t xml:space="preserve">this </w:t>
      </w:r>
      <w:r w:rsidR="00E47DD2">
        <w:t xml:space="preserve">increase </w:t>
      </w:r>
      <w:r w:rsidR="007A44B4">
        <w:t>is truer for “junior Oxford” than for “senior Oxford”</w:t>
      </w:r>
      <w:r w:rsidR="00E127F8">
        <w:t xml:space="preserve"> (Brock 1994:749), that is, the higher one looks up the academic ladder at Oxford</w:t>
      </w:r>
      <w:r w:rsidR="007A44B4">
        <w:t xml:space="preserve"> </w:t>
      </w:r>
      <w:r w:rsidR="00E127F8">
        <w:t xml:space="preserve">the fewer women are seen- even though today one </w:t>
      </w:r>
      <w:r w:rsidR="00E47DD2">
        <w:t>can</w:t>
      </w:r>
      <w:r w:rsidR="00E127F8">
        <w:t xml:space="preserve"> see a female at the very top.  However, one </w:t>
      </w:r>
      <w:r w:rsidR="00E47DD2">
        <w:t>does not se</w:t>
      </w:r>
      <w:r w:rsidR="00E127F8">
        <w:t xml:space="preserve">e many women at the head of colleges.  Indeed, since coresidence the odds of </w:t>
      </w:r>
      <w:r w:rsidR="00E127F8">
        <w:lastRenderedPageBreak/>
        <w:t>a woman being appointed head of house at one of the formerly men’s colleges is 1:16 while the odds of a man being appointed to head a formerly female college is 1:4.</w:t>
      </w:r>
      <w:r w:rsidR="007A44B4">
        <w:t xml:space="preserve">  </w:t>
      </w:r>
      <w:r w:rsidR="00DC07B5">
        <w:t>At the end of her study of coresidence at the universities of Oxford and London</w:t>
      </w:r>
      <w:r w:rsidR="00E127F8">
        <w:t>,</w:t>
      </w:r>
      <w:r w:rsidR="00DC07B5">
        <w:t xml:space="preserve"> Carol Dyhouse (2002:</w:t>
      </w:r>
      <w:r w:rsidR="00DF7B73">
        <w:t xml:space="preserve"> </w:t>
      </w:r>
      <w:r w:rsidR="00DC07B5">
        <w:t>297)</w:t>
      </w:r>
      <w:r w:rsidR="00E127F8">
        <w:t xml:space="preserve"> </w:t>
      </w:r>
      <w:r w:rsidR="00DC07B5">
        <w:t xml:space="preserve">concluded “Only when women share equally with men in the teaching, learning and governance of mixed colleges might one expect accusations of betrayal, alongside the legacy of mistrust, to be relegated to history.”  Oxford has made considerable progress towards equality in teaching and governance but </w:t>
      </w:r>
      <w:r w:rsidR="002F3716">
        <w:t xml:space="preserve">perhaps </w:t>
      </w:r>
      <w:r w:rsidR="00DC07B5">
        <w:t>not sufficient to confine accusations of betrayal and the legacy of mistrust to history.</w:t>
      </w:r>
    </w:p>
    <w:p w14:paraId="7C20720F" w14:textId="77777777" w:rsidR="00DC07B5" w:rsidRDefault="00DC07B5">
      <w:r>
        <w:br w:type="page"/>
      </w:r>
    </w:p>
    <w:p w14:paraId="03C4A4DC" w14:textId="77777777" w:rsidR="00472677" w:rsidRPr="00F9117A" w:rsidRDefault="00472677" w:rsidP="00472677">
      <w:pPr>
        <w:jc w:val="center"/>
        <w:rPr>
          <w:b/>
        </w:rPr>
      </w:pPr>
      <w:r w:rsidRPr="00F9117A">
        <w:rPr>
          <w:b/>
        </w:rPr>
        <w:lastRenderedPageBreak/>
        <w:t>Table</w:t>
      </w:r>
      <w:r w:rsidR="007C1CDC">
        <w:rPr>
          <w:b/>
        </w:rPr>
        <w:t xml:space="preserve"> 1</w:t>
      </w:r>
    </w:p>
    <w:p w14:paraId="29F545B1" w14:textId="77777777" w:rsidR="00472677" w:rsidRPr="00F9117A" w:rsidRDefault="00472677" w:rsidP="00472677">
      <w:pPr>
        <w:jc w:val="center"/>
        <w:rPr>
          <w:b/>
        </w:rPr>
      </w:pPr>
      <w:r w:rsidRPr="00F9117A">
        <w:rPr>
          <w:b/>
        </w:rPr>
        <w:t>Percentage of Oxford Undergraduates, Female 1938/39 – 2015/16</w:t>
      </w:r>
    </w:p>
    <w:tbl>
      <w:tblPr>
        <w:tblStyle w:val="TableGrid"/>
        <w:tblW w:w="0" w:type="auto"/>
        <w:tblInd w:w="1705" w:type="dxa"/>
        <w:tblLook w:val="04A0" w:firstRow="1" w:lastRow="0" w:firstColumn="1" w:lastColumn="0" w:noHBand="0" w:noVBand="1"/>
      </w:tblPr>
      <w:tblGrid>
        <w:gridCol w:w="2970"/>
        <w:gridCol w:w="2970"/>
      </w:tblGrid>
      <w:tr w:rsidR="00472677" w14:paraId="5F9B79A0" w14:textId="77777777" w:rsidTr="00EE3B2B">
        <w:tc>
          <w:tcPr>
            <w:tcW w:w="2970" w:type="dxa"/>
          </w:tcPr>
          <w:p w14:paraId="417F72DD" w14:textId="77777777" w:rsidR="00472677" w:rsidRDefault="00472677" w:rsidP="00EE3B2B">
            <w:pPr>
              <w:jc w:val="center"/>
            </w:pPr>
            <w:r>
              <w:t>Years</w:t>
            </w:r>
          </w:p>
        </w:tc>
        <w:tc>
          <w:tcPr>
            <w:tcW w:w="2970" w:type="dxa"/>
          </w:tcPr>
          <w:p w14:paraId="516660C6" w14:textId="77777777" w:rsidR="00472677" w:rsidRDefault="00472677" w:rsidP="00EE3B2B">
            <w:pPr>
              <w:jc w:val="center"/>
            </w:pPr>
            <w:r>
              <w:t>Percentage</w:t>
            </w:r>
          </w:p>
        </w:tc>
      </w:tr>
      <w:tr w:rsidR="00472677" w14:paraId="2316262F" w14:textId="77777777" w:rsidTr="00EE3B2B">
        <w:tc>
          <w:tcPr>
            <w:tcW w:w="2970" w:type="dxa"/>
          </w:tcPr>
          <w:p w14:paraId="6A95C5F7" w14:textId="77777777" w:rsidR="00472677" w:rsidRDefault="00472677" w:rsidP="00EE3B2B">
            <w:pPr>
              <w:jc w:val="center"/>
            </w:pPr>
            <w:r>
              <w:t>1938/39</w:t>
            </w:r>
          </w:p>
        </w:tc>
        <w:tc>
          <w:tcPr>
            <w:tcW w:w="2970" w:type="dxa"/>
          </w:tcPr>
          <w:p w14:paraId="0ED88294" w14:textId="77777777" w:rsidR="00472677" w:rsidRDefault="00472677" w:rsidP="00EE3B2B">
            <w:pPr>
              <w:jc w:val="center"/>
            </w:pPr>
            <w:r>
              <w:t>17.5</w:t>
            </w:r>
          </w:p>
        </w:tc>
      </w:tr>
      <w:tr w:rsidR="00472677" w14:paraId="0883F16B" w14:textId="77777777" w:rsidTr="00EE3B2B">
        <w:tc>
          <w:tcPr>
            <w:tcW w:w="2970" w:type="dxa"/>
          </w:tcPr>
          <w:p w14:paraId="23C39851" w14:textId="77777777" w:rsidR="00472677" w:rsidRDefault="00472677" w:rsidP="00EE3B2B">
            <w:pPr>
              <w:jc w:val="center"/>
            </w:pPr>
            <w:r>
              <w:t>1955/56</w:t>
            </w:r>
          </w:p>
        </w:tc>
        <w:tc>
          <w:tcPr>
            <w:tcW w:w="2970" w:type="dxa"/>
          </w:tcPr>
          <w:p w14:paraId="21B71A98" w14:textId="77777777" w:rsidR="00472677" w:rsidRDefault="00472677" w:rsidP="00EE3B2B">
            <w:pPr>
              <w:jc w:val="center"/>
            </w:pPr>
            <w:r>
              <w:t>15.4</w:t>
            </w:r>
          </w:p>
        </w:tc>
      </w:tr>
      <w:tr w:rsidR="00472677" w14:paraId="5029A7DA" w14:textId="77777777" w:rsidTr="00EE3B2B">
        <w:tc>
          <w:tcPr>
            <w:tcW w:w="2970" w:type="dxa"/>
          </w:tcPr>
          <w:p w14:paraId="48D15230" w14:textId="77777777" w:rsidR="00472677" w:rsidRDefault="00472677" w:rsidP="00EE3B2B">
            <w:pPr>
              <w:jc w:val="center"/>
            </w:pPr>
            <w:r>
              <w:t>1970/71</w:t>
            </w:r>
          </w:p>
        </w:tc>
        <w:tc>
          <w:tcPr>
            <w:tcW w:w="2970" w:type="dxa"/>
          </w:tcPr>
          <w:p w14:paraId="214ADDBF" w14:textId="77777777" w:rsidR="00472677" w:rsidRDefault="00472677" w:rsidP="00EE3B2B">
            <w:pPr>
              <w:jc w:val="center"/>
            </w:pPr>
            <w:r>
              <w:t>19.4</w:t>
            </w:r>
          </w:p>
        </w:tc>
      </w:tr>
      <w:tr w:rsidR="00472677" w14:paraId="4B9B0F5C" w14:textId="77777777" w:rsidTr="00EE3B2B">
        <w:tc>
          <w:tcPr>
            <w:tcW w:w="2970" w:type="dxa"/>
          </w:tcPr>
          <w:p w14:paraId="69192A43" w14:textId="77777777" w:rsidR="00472677" w:rsidRDefault="00472677" w:rsidP="00EE3B2B">
            <w:pPr>
              <w:jc w:val="center"/>
            </w:pPr>
            <w:r>
              <w:t>1980/81</w:t>
            </w:r>
          </w:p>
        </w:tc>
        <w:tc>
          <w:tcPr>
            <w:tcW w:w="2970" w:type="dxa"/>
          </w:tcPr>
          <w:p w14:paraId="057744E7" w14:textId="77777777" w:rsidR="00472677" w:rsidRDefault="00472677" w:rsidP="00EE3B2B">
            <w:pPr>
              <w:jc w:val="center"/>
            </w:pPr>
            <w:r>
              <w:t>29.8</w:t>
            </w:r>
          </w:p>
        </w:tc>
      </w:tr>
      <w:tr w:rsidR="00472677" w14:paraId="514FE98A" w14:textId="77777777" w:rsidTr="00EE3B2B">
        <w:tc>
          <w:tcPr>
            <w:tcW w:w="2970" w:type="dxa"/>
          </w:tcPr>
          <w:p w14:paraId="16A9142A" w14:textId="77777777" w:rsidR="00472677" w:rsidRDefault="00472677" w:rsidP="00EE3B2B">
            <w:pPr>
              <w:jc w:val="center"/>
            </w:pPr>
            <w:r>
              <w:t>1990/91</w:t>
            </w:r>
          </w:p>
        </w:tc>
        <w:tc>
          <w:tcPr>
            <w:tcW w:w="2970" w:type="dxa"/>
          </w:tcPr>
          <w:p w14:paraId="6F775DA1" w14:textId="77777777" w:rsidR="00472677" w:rsidRDefault="00472677" w:rsidP="00EE3B2B">
            <w:pPr>
              <w:jc w:val="center"/>
            </w:pPr>
            <w:r>
              <w:t>40.31</w:t>
            </w:r>
          </w:p>
        </w:tc>
      </w:tr>
      <w:tr w:rsidR="00472677" w14:paraId="2BDFDD8C" w14:textId="77777777" w:rsidTr="00EE3B2B">
        <w:tc>
          <w:tcPr>
            <w:tcW w:w="2970" w:type="dxa"/>
          </w:tcPr>
          <w:p w14:paraId="01BF3D4F" w14:textId="77777777" w:rsidR="00472677" w:rsidRDefault="00472677" w:rsidP="00EE3B2B">
            <w:pPr>
              <w:jc w:val="center"/>
            </w:pPr>
            <w:r>
              <w:t>2000/01</w:t>
            </w:r>
          </w:p>
        </w:tc>
        <w:tc>
          <w:tcPr>
            <w:tcW w:w="2970" w:type="dxa"/>
          </w:tcPr>
          <w:p w14:paraId="209FC1F0" w14:textId="77777777" w:rsidR="00472677" w:rsidRDefault="00472677" w:rsidP="00EE3B2B">
            <w:pPr>
              <w:jc w:val="center"/>
            </w:pPr>
            <w:r>
              <w:t>44.92</w:t>
            </w:r>
          </w:p>
        </w:tc>
      </w:tr>
      <w:tr w:rsidR="00472677" w14:paraId="10236991" w14:textId="77777777" w:rsidTr="00EE3B2B">
        <w:tc>
          <w:tcPr>
            <w:tcW w:w="2970" w:type="dxa"/>
          </w:tcPr>
          <w:p w14:paraId="464307AB" w14:textId="77777777" w:rsidR="00472677" w:rsidRDefault="00472677" w:rsidP="00EE3B2B">
            <w:pPr>
              <w:jc w:val="center"/>
            </w:pPr>
            <w:r>
              <w:t>2010/11</w:t>
            </w:r>
          </w:p>
        </w:tc>
        <w:tc>
          <w:tcPr>
            <w:tcW w:w="2970" w:type="dxa"/>
          </w:tcPr>
          <w:p w14:paraId="148A13B9" w14:textId="77777777" w:rsidR="00472677" w:rsidRDefault="00472677" w:rsidP="00EE3B2B">
            <w:pPr>
              <w:jc w:val="center"/>
            </w:pPr>
            <w:r>
              <w:t>46.04</w:t>
            </w:r>
          </w:p>
        </w:tc>
      </w:tr>
      <w:tr w:rsidR="00472677" w14:paraId="3087113A" w14:textId="77777777" w:rsidTr="00EE3B2B">
        <w:tc>
          <w:tcPr>
            <w:tcW w:w="2970" w:type="dxa"/>
          </w:tcPr>
          <w:p w14:paraId="39958C7C" w14:textId="77777777" w:rsidR="00472677" w:rsidRDefault="00472677" w:rsidP="00EE3B2B">
            <w:pPr>
              <w:jc w:val="center"/>
            </w:pPr>
            <w:r>
              <w:t>2015/16</w:t>
            </w:r>
          </w:p>
        </w:tc>
        <w:tc>
          <w:tcPr>
            <w:tcW w:w="2970" w:type="dxa"/>
          </w:tcPr>
          <w:p w14:paraId="393B3C5A" w14:textId="77777777" w:rsidR="00472677" w:rsidRDefault="00472677" w:rsidP="00EE3B2B">
            <w:pPr>
              <w:jc w:val="center"/>
            </w:pPr>
            <w:r>
              <w:t>47.12</w:t>
            </w:r>
          </w:p>
        </w:tc>
      </w:tr>
    </w:tbl>
    <w:p w14:paraId="48ACB151" w14:textId="77777777" w:rsidR="00472677" w:rsidRDefault="00472677" w:rsidP="00472677">
      <w:pPr>
        <w:jc w:val="center"/>
      </w:pPr>
    </w:p>
    <w:p w14:paraId="241B42B3" w14:textId="77777777" w:rsidR="005F3DE1" w:rsidRDefault="005F3DE1" w:rsidP="005F3DE1">
      <w:pPr>
        <w:spacing w:after="0" w:line="240" w:lineRule="auto"/>
        <w:jc w:val="center"/>
      </w:pPr>
      <w:r>
        <w:t xml:space="preserve">Sources: P. Bolton (2014) 1938/39 – 1980/81, </w:t>
      </w:r>
      <w:r w:rsidR="00DA72D9">
        <w:t xml:space="preserve">for </w:t>
      </w:r>
      <w:r>
        <w:t xml:space="preserve">1990/91 onward </w:t>
      </w:r>
    </w:p>
    <w:p w14:paraId="44DA9170" w14:textId="77777777" w:rsidR="00472677" w:rsidRDefault="005F3DE1" w:rsidP="005F3DE1">
      <w:pPr>
        <w:spacing w:after="0" w:line="240" w:lineRule="auto"/>
        <w:jc w:val="center"/>
      </w:pPr>
      <w:r>
        <w:t>University of Oxford Gazette Supplement, Student Numbers, various years.</w:t>
      </w:r>
    </w:p>
    <w:p w14:paraId="100A4950" w14:textId="77777777" w:rsidR="00F425A6" w:rsidRDefault="00F425A6" w:rsidP="005F3DE1">
      <w:pPr>
        <w:spacing w:after="0" w:line="240" w:lineRule="auto"/>
        <w:jc w:val="center"/>
      </w:pPr>
    </w:p>
    <w:p w14:paraId="75AB2A72" w14:textId="77777777" w:rsidR="00F425A6" w:rsidRDefault="00F425A6" w:rsidP="005F3DE1">
      <w:pPr>
        <w:spacing w:after="0" w:line="240" w:lineRule="auto"/>
        <w:jc w:val="center"/>
      </w:pPr>
    </w:p>
    <w:p w14:paraId="428853F2" w14:textId="77777777" w:rsidR="00F425A6" w:rsidRDefault="00F425A6" w:rsidP="005F3DE1">
      <w:pPr>
        <w:spacing w:after="0" w:line="240" w:lineRule="auto"/>
        <w:jc w:val="center"/>
      </w:pPr>
    </w:p>
    <w:p w14:paraId="03094090" w14:textId="77777777" w:rsidR="00F425A6" w:rsidRDefault="00F425A6" w:rsidP="005F3DE1">
      <w:pPr>
        <w:spacing w:after="0" w:line="240" w:lineRule="auto"/>
        <w:jc w:val="center"/>
      </w:pPr>
    </w:p>
    <w:p w14:paraId="6F9C3CF7" w14:textId="4909DD8A" w:rsidR="00156288" w:rsidRPr="00F9117A" w:rsidRDefault="0072211E" w:rsidP="00156288">
      <w:pPr>
        <w:jc w:val="center"/>
        <w:rPr>
          <w:b/>
        </w:rPr>
      </w:pPr>
      <w:r>
        <w:br w:type="page"/>
      </w:r>
      <w:r w:rsidR="00156288" w:rsidRPr="00F9117A">
        <w:rPr>
          <w:b/>
        </w:rPr>
        <w:lastRenderedPageBreak/>
        <w:t>Table</w:t>
      </w:r>
      <w:r w:rsidR="00156288">
        <w:rPr>
          <w:b/>
        </w:rPr>
        <w:t xml:space="preserve"> 2</w:t>
      </w:r>
    </w:p>
    <w:p w14:paraId="57DBC43E" w14:textId="52DCEC9B" w:rsidR="00156288" w:rsidRPr="00F9117A" w:rsidRDefault="00156288" w:rsidP="00156288">
      <w:pPr>
        <w:jc w:val="center"/>
        <w:rPr>
          <w:b/>
        </w:rPr>
      </w:pPr>
      <w:r>
        <w:rPr>
          <w:b/>
        </w:rPr>
        <w:t xml:space="preserve">Academic Positions held by Women as a </w:t>
      </w:r>
      <w:r w:rsidRPr="00F9117A">
        <w:rPr>
          <w:b/>
        </w:rPr>
        <w:t xml:space="preserve">Percentage of </w:t>
      </w:r>
      <w:r>
        <w:rPr>
          <w:b/>
        </w:rPr>
        <w:t>those held by Men</w:t>
      </w:r>
      <w:r w:rsidR="005C102F">
        <w:rPr>
          <w:b/>
        </w:rPr>
        <w:t>: Years after College Introduced Coresidence</w:t>
      </w:r>
    </w:p>
    <w:tbl>
      <w:tblPr>
        <w:tblStyle w:val="TableGrid"/>
        <w:tblW w:w="8910" w:type="dxa"/>
        <w:tblInd w:w="1705" w:type="dxa"/>
        <w:tblLook w:val="04A0" w:firstRow="1" w:lastRow="0" w:firstColumn="1" w:lastColumn="0" w:noHBand="0" w:noVBand="1"/>
      </w:tblPr>
      <w:tblGrid>
        <w:gridCol w:w="2970"/>
        <w:gridCol w:w="2970"/>
        <w:gridCol w:w="2970"/>
      </w:tblGrid>
      <w:tr w:rsidR="00156288" w14:paraId="49AD8D87" w14:textId="64FC8A74" w:rsidTr="009C1ED2">
        <w:tc>
          <w:tcPr>
            <w:tcW w:w="2970" w:type="dxa"/>
          </w:tcPr>
          <w:p w14:paraId="250469BF" w14:textId="5FD38152" w:rsidR="00156288" w:rsidRDefault="00156288" w:rsidP="00156288">
            <w:pPr>
              <w:jc w:val="center"/>
            </w:pPr>
            <w:r>
              <w:t>College</w:t>
            </w:r>
          </w:p>
        </w:tc>
        <w:tc>
          <w:tcPr>
            <w:tcW w:w="2970" w:type="dxa"/>
          </w:tcPr>
          <w:p w14:paraId="35599B74" w14:textId="4959BEC9" w:rsidR="00156288" w:rsidRDefault="00156288" w:rsidP="00156288">
            <w:pPr>
              <w:jc w:val="center"/>
            </w:pPr>
            <w:r>
              <w:t>5 Years After</w:t>
            </w:r>
          </w:p>
        </w:tc>
        <w:tc>
          <w:tcPr>
            <w:tcW w:w="2970" w:type="dxa"/>
          </w:tcPr>
          <w:p w14:paraId="47586313" w14:textId="6EA8573D" w:rsidR="00156288" w:rsidRDefault="00156288" w:rsidP="00156288">
            <w:r>
              <w:t>10 Years After</w:t>
            </w:r>
          </w:p>
        </w:tc>
      </w:tr>
      <w:tr w:rsidR="00156288" w14:paraId="1C28B166" w14:textId="24DDAF10" w:rsidTr="009C1ED2">
        <w:tc>
          <w:tcPr>
            <w:tcW w:w="2970" w:type="dxa"/>
          </w:tcPr>
          <w:p w14:paraId="221B4C76" w14:textId="6255DCC8" w:rsidR="00156288" w:rsidRDefault="00156288" w:rsidP="00156288">
            <w:pPr>
              <w:jc w:val="center"/>
            </w:pPr>
            <w:r>
              <w:t>Brasenose</w:t>
            </w:r>
          </w:p>
        </w:tc>
        <w:tc>
          <w:tcPr>
            <w:tcW w:w="2970" w:type="dxa"/>
          </w:tcPr>
          <w:p w14:paraId="0C510B3C" w14:textId="1D94315F" w:rsidR="00156288" w:rsidRDefault="00156288" w:rsidP="00156288">
            <w:pPr>
              <w:jc w:val="center"/>
            </w:pPr>
            <w:r>
              <w:t>0.0</w:t>
            </w:r>
          </w:p>
        </w:tc>
        <w:tc>
          <w:tcPr>
            <w:tcW w:w="2970" w:type="dxa"/>
          </w:tcPr>
          <w:p w14:paraId="6791C683" w14:textId="22BF8C20" w:rsidR="00156288" w:rsidRDefault="00156288" w:rsidP="00156288">
            <w:pPr>
              <w:jc w:val="center"/>
            </w:pPr>
            <w:r>
              <w:t>4.3</w:t>
            </w:r>
          </w:p>
        </w:tc>
      </w:tr>
      <w:tr w:rsidR="00156288" w14:paraId="6FDA1002" w14:textId="5E79774A" w:rsidTr="009C1ED2">
        <w:tc>
          <w:tcPr>
            <w:tcW w:w="2970" w:type="dxa"/>
          </w:tcPr>
          <w:p w14:paraId="602A5D29" w14:textId="424F5331" w:rsidR="00156288" w:rsidRDefault="009C1ED2" w:rsidP="00156288">
            <w:r>
              <w:t xml:space="preserve">                  </w:t>
            </w:r>
            <w:r w:rsidR="00156288">
              <w:t>Hertford</w:t>
            </w:r>
          </w:p>
        </w:tc>
        <w:tc>
          <w:tcPr>
            <w:tcW w:w="2970" w:type="dxa"/>
          </w:tcPr>
          <w:p w14:paraId="5444D632" w14:textId="77DB09EE" w:rsidR="00156288" w:rsidRDefault="00156288" w:rsidP="00156288">
            <w:pPr>
              <w:jc w:val="center"/>
            </w:pPr>
            <w:r>
              <w:t>3.4</w:t>
            </w:r>
          </w:p>
        </w:tc>
        <w:tc>
          <w:tcPr>
            <w:tcW w:w="2970" w:type="dxa"/>
          </w:tcPr>
          <w:p w14:paraId="74E23AB4" w14:textId="5FCAA9CC" w:rsidR="00156288" w:rsidRDefault="00156288" w:rsidP="00156288">
            <w:pPr>
              <w:jc w:val="center"/>
            </w:pPr>
            <w:r>
              <w:t>6.5</w:t>
            </w:r>
          </w:p>
        </w:tc>
      </w:tr>
      <w:tr w:rsidR="00156288" w14:paraId="0DA02125" w14:textId="25F31004" w:rsidTr="009C1ED2">
        <w:tc>
          <w:tcPr>
            <w:tcW w:w="2970" w:type="dxa"/>
          </w:tcPr>
          <w:p w14:paraId="1BA50062" w14:textId="3429A7F2" w:rsidR="00156288" w:rsidRDefault="00156288" w:rsidP="00156288">
            <w:pPr>
              <w:jc w:val="center"/>
            </w:pPr>
            <w:r>
              <w:t>Jesus</w:t>
            </w:r>
          </w:p>
        </w:tc>
        <w:tc>
          <w:tcPr>
            <w:tcW w:w="2970" w:type="dxa"/>
          </w:tcPr>
          <w:p w14:paraId="240C798F" w14:textId="72413691" w:rsidR="00156288" w:rsidRDefault="00156288" w:rsidP="00156288">
            <w:pPr>
              <w:jc w:val="center"/>
            </w:pPr>
            <w:r>
              <w:t>4.0</w:t>
            </w:r>
          </w:p>
        </w:tc>
        <w:tc>
          <w:tcPr>
            <w:tcW w:w="2970" w:type="dxa"/>
          </w:tcPr>
          <w:p w14:paraId="78BA3068" w14:textId="5B3503FC" w:rsidR="00156288" w:rsidRDefault="00156288" w:rsidP="00156288">
            <w:pPr>
              <w:jc w:val="center"/>
            </w:pPr>
            <w:r>
              <w:t>8.0</w:t>
            </w:r>
          </w:p>
        </w:tc>
      </w:tr>
      <w:tr w:rsidR="00156288" w14:paraId="1B4AA0BA" w14:textId="19E00683" w:rsidTr="009C1ED2">
        <w:tc>
          <w:tcPr>
            <w:tcW w:w="2970" w:type="dxa"/>
          </w:tcPr>
          <w:p w14:paraId="532432C6" w14:textId="16692D26" w:rsidR="00156288" w:rsidRDefault="00156288" w:rsidP="00156288">
            <w:pPr>
              <w:jc w:val="center"/>
            </w:pPr>
            <w:r>
              <w:t>St. Catherine’s</w:t>
            </w:r>
          </w:p>
        </w:tc>
        <w:tc>
          <w:tcPr>
            <w:tcW w:w="2970" w:type="dxa"/>
          </w:tcPr>
          <w:p w14:paraId="2EBCC7D2" w14:textId="570C90D9" w:rsidR="00156288" w:rsidRDefault="00156288" w:rsidP="00156288">
            <w:pPr>
              <w:jc w:val="center"/>
            </w:pPr>
            <w:r>
              <w:t>3.4</w:t>
            </w:r>
          </w:p>
        </w:tc>
        <w:tc>
          <w:tcPr>
            <w:tcW w:w="2970" w:type="dxa"/>
          </w:tcPr>
          <w:p w14:paraId="42668577" w14:textId="24B80073" w:rsidR="00156288" w:rsidRDefault="009C1ED2" w:rsidP="009C1ED2">
            <w:pPr>
              <w:jc w:val="center"/>
            </w:pPr>
            <w:r>
              <w:t>5</w:t>
            </w:r>
            <w:r w:rsidR="00156288">
              <w:t>.</w:t>
            </w:r>
            <w:r>
              <w:t>1</w:t>
            </w:r>
          </w:p>
        </w:tc>
      </w:tr>
      <w:tr w:rsidR="00156288" w14:paraId="55E61EFA" w14:textId="721AF0B5" w:rsidTr="009C1ED2">
        <w:tc>
          <w:tcPr>
            <w:tcW w:w="2970" w:type="dxa"/>
          </w:tcPr>
          <w:p w14:paraId="1904C675" w14:textId="2AC225CB" w:rsidR="00156288" w:rsidRDefault="00156288" w:rsidP="00156288">
            <w:pPr>
              <w:jc w:val="center"/>
            </w:pPr>
            <w:r>
              <w:t>Wadham</w:t>
            </w:r>
          </w:p>
        </w:tc>
        <w:tc>
          <w:tcPr>
            <w:tcW w:w="2970" w:type="dxa"/>
          </w:tcPr>
          <w:p w14:paraId="673E2389" w14:textId="7CC0A305" w:rsidR="00156288" w:rsidRDefault="00156288" w:rsidP="00156288">
            <w:pPr>
              <w:jc w:val="center"/>
            </w:pPr>
            <w:r>
              <w:t>2.3</w:t>
            </w:r>
          </w:p>
        </w:tc>
        <w:tc>
          <w:tcPr>
            <w:tcW w:w="2970" w:type="dxa"/>
          </w:tcPr>
          <w:p w14:paraId="0E913EBA" w14:textId="17FE87B4" w:rsidR="00156288" w:rsidRDefault="00156288" w:rsidP="00156288">
            <w:pPr>
              <w:jc w:val="center"/>
            </w:pPr>
            <w:r>
              <w:t>2</w:t>
            </w:r>
            <w:r w:rsidR="009C1ED2">
              <w:t>.4</w:t>
            </w:r>
          </w:p>
        </w:tc>
      </w:tr>
      <w:tr w:rsidR="00156288" w14:paraId="77D03807" w14:textId="7520197E" w:rsidTr="009C1ED2">
        <w:tc>
          <w:tcPr>
            <w:tcW w:w="2970" w:type="dxa"/>
          </w:tcPr>
          <w:p w14:paraId="783F3F59" w14:textId="087873B7" w:rsidR="00156288" w:rsidRDefault="00156288" w:rsidP="00156288">
            <w:pPr>
              <w:jc w:val="center"/>
            </w:pPr>
            <w:r>
              <w:t>Lady Margaret Hall</w:t>
            </w:r>
          </w:p>
        </w:tc>
        <w:tc>
          <w:tcPr>
            <w:tcW w:w="2970" w:type="dxa"/>
          </w:tcPr>
          <w:p w14:paraId="2D6E3411" w14:textId="504541B1" w:rsidR="00156288" w:rsidRDefault="00156288" w:rsidP="00156288">
            <w:pPr>
              <w:jc w:val="center"/>
            </w:pPr>
            <w:r>
              <w:t>151</w:t>
            </w:r>
          </w:p>
        </w:tc>
        <w:tc>
          <w:tcPr>
            <w:tcW w:w="2970" w:type="dxa"/>
          </w:tcPr>
          <w:p w14:paraId="6B7EF241" w14:textId="489CE3EB" w:rsidR="00156288" w:rsidRDefault="00156288" w:rsidP="009C1ED2">
            <w:pPr>
              <w:jc w:val="center"/>
            </w:pPr>
            <w:r>
              <w:t>5</w:t>
            </w:r>
            <w:r w:rsidR="009C1ED2">
              <w:t>9</w:t>
            </w:r>
          </w:p>
        </w:tc>
      </w:tr>
      <w:tr w:rsidR="00156288" w14:paraId="00D85CC3" w14:textId="00208EA5" w:rsidTr="009C1ED2">
        <w:tc>
          <w:tcPr>
            <w:tcW w:w="2970" w:type="dxa"/>
          </w:tcPr>
          <w:p w14:paraId="0A026C2B" w14:textId="3D541C54" w:rsidR="00156288" w:rsidRDefault="00156288" w:rsidP="00156288">
            <w:pPr>
              <w:jc w:val="center"/>
            </w:pPr>
            <w:r>
              <w:t>St. Anne’s</w:t>
            </w:r>
          </w:p>
        </w:tc>
        <w:tc>
          <w:tcPr>
            <w:tcW w:w="2970" w:type="dxa"/>
          </w:tcPr>
          <w:p w14:paraId="19FC5868" w14:textId="3E552A59" w:rsidR="00156288" w:rsidRDefault="00156288" w:rsidP="00156288">
            <w:pPr>
              <w:jc w:val="center"/>
            </w:pPr>
            <w:r>
              <w:t>125</w:t>
            </w:r>
          </w:p>
        </w:tc>
        <w:tc>
          <w:tcPr>
            <w:tcW w:w="2970" w:type="dxa"/>
          </w:tcPr>
          <w:p w14:paraId="7C0CFA1F" w14:textId="53B93B90" w:rsidR="00156288" w:rsidRDefault="009C1ED2" w:rsidP="00156288">
            <w:pPr>
              <w:jc w:val="center"/>
            </w:pPr>
            <w:r>
              <w:t>9</w:t>
            </w:r>
            <w:r w:rsidR="00156288">
              <w:t>5</w:t>
            </w:r>
          </w:p>
        </w:tc>
      </w:tr>
      <w:tr w:rsidR="00156288" w14:paraId="692F17CE" w14:textId="18E48195" w:rsidTr="009C1ED2">
        <w:tc>
          <w:tcPr>
            <w:tcW w:w="2970" w:type="dxa"/>
          </w:tcPr>
          <w:p w14:paraId="076B4331" w14:textId="4D8541B2" w:rsidR="00156288" w:rsidRDefault="00156288" w:rsidP="00156288">
            <w:pPr>
              <w:jc w:val="center"/>
            </w:pPr>
            <w:r>
              <w:t>St. Hilda’s</w:t>
            </w:r>
          </w:p>
        </w:tc>
        <w:tc>
          <w:tcPr>
            <w:tcW w:w="2970" w:type="dxa"/>
          </w:tcPr>
          <w:p w14:paraId="38FD5192" w14:textId="77BD33EA" w:rsidR="00156288" w:rsidRDefault="00156288" w:rsidP="00156288">
            <w:pPr>
              <w:jc w:val="center"/>
            </w:pPr>
            <w:r>
              <w:t>415</w:t>
            </w:r>
          </w:p>
        </w:tc>
        <w:tc>
          <w:tcPr>
            <w:tcW w:w="2970" w:type="dxa"/>
          </w:tcPr>
          <w:p w14:paraId="114BFED5" w14:textId="1490B6B9" w:rsidR="00156288" w:rsidRDefault="009C1ED2" w:rsidP="00156288">
            <w:pPr>
              <w:jc w:val="center"/>
            </w:pPr>
            <w:r>
              <w:t>-</w:t>
            </w:r>
          </w:p>
        </w:tc>
      </w:tr>
      <w:tr w:rsidR="009C1ED2" w14:paraId="76C07595" w14:textId="77777777" w:rsidTr="009C1ED2">
        <w:tc>
          <w:tcPr>
            <w:tcW w:w="2970" w:type="dxa"/>
          </w:tcPr>
          <w:p w14:paraId="40FFD647" w14:textId="338112C1" w:rsidR="009C1ED2" w:rsidRDefault="009C1ED2" w:rsidP="0061666A">
            <w:pPr>
              <w:jc w:val="center"/>
            </w:pPr>
            <w:r>
              <w:t>St. Hugh’s</w:t>
            </w:r>
          </w:p>
        </w:tc>
        <w:tc>
          <w:tcPr>
            <w:tcW w:w="2970" w:type="dxa"/>
          </w:tcPr>
          <w:p w14:paraId="31CC39E9" w14:textId="79FD7D8A" w:rsidR="009C1ED2" w:rsidRDefault="009C1ED2" w:rsidP="009C1ED2">
            <w:r>
              <w:t xml:space="preserve">                         58</w:t>
            </w:r>
          </w:p>
        </w:tc>
        <w:tc>
          <w:tcPr>
            <w:tcW w:w="2970" w:type="dxa"/>
          </w:tcPr>
          <w:p w14:paraId="02D66A81" w14:textId="75ECA31A" w:rsidR="009C1ED2" w:rsidRDefault="009C1ED2" w:rsidP="0061666A">
            <w:r>
              <w:t xml:space="preserve">                         38</w:t>
            </w:r>
          </w:p>
        </w:tc>
      </w:tr>
      <w:tr w:rsidR="009C1ED2" w14:paraId="3BF633F3" w14:textId="77777777" w:rsidTr="009C1ED2">
        <w:tc>
          <w:tcPr>
            <w:tcW w:w="2970" w:type="dxa"/>
          </w:tcPr>
          <w:p w14:paraId="506BC11A" w14:textId="50E7873B" w:rsidR="009C1ED2" w:rsidRDefault="009C1ED2" w:rsidP="0061666A">
            <w:pPr>
              <w:jc w:val="center"/>
            </w:pPr>
            <w:r>
              <w:t>Somerville</w:t>
            </w:r>
          </w:p>
        </w:tc>
        <w:tc>
          <w:tcPr>
            <w:tcW w:w="2970" w:type="dxa"/>
          </w:tcPr>
          <w:p w14:paraId="50DBE979" w14:textId="57929ED8" w:rsidR="009C1ED2" w:rsidRDefault="009C1ED2" w:rsidP="0061666A">
            <w:pPr>
              <w:jc w:val="center"/>
            </w:pPr>
            <w:r>
              <w:t>270</w:t>
            </w:r>
          </w:p>
        </w:tc>
        <w:tc>
          <w:tcPr>
            <w:tcW w:w="2970" w:type="dxa"/>
          </w:tcPr>
          <w:p w14:paraId="1F98976F" w14:textId="0937F219" w:rsidR="009C1ED2" w:rsidRDefault="009C1ED2" w:rsidP="009C1ED2">
            <w:pPr>
              <w:jc w:val="center"/>
            </w:pPr>
            <w:r>
              <w:t>127</w:t>
            </w:r>
          </w:p>
        </w:tc>
      </w:tr>
      <w:tr w:rsidR="009C1ED2" w14:paraId="5CEBD483" w14:textId="77777777" w:rsidTr="009C1ED2">
        <w:tc>
          <w:tcPr>
            <w:tcW w:w="2970" w:type="dxa"/>
          </w:tcPr>
          <w:p w14:paraId="1EFBC50A" w14:textId="77777777" w:rsidR="009C1ED2" w:rsidRDefault="009C1ED2" w:rsidP="0061666A">
            <w:pPr>
              <w:jc w:val="center"/>
            </w:pPr>
            <w:r>
              <w:t>College</w:t>
            </w:r>
          </w:p>
        </w:tc>
        <w:tc>
          <w:tcPr>
            <w:tcW w:w="2970" w:type="dxa"/>
          </w:tcPr>
          <w:p w14:paraId="3BC2DFC2" w14:textId="265F8EEB" w:rsidR="009C1ED2" w:rsidRDefault="009C1ED2" w:rsidP="0061666A">
            <w:pPr>
              <w:jc w:val="center"/>
            </w:pPr>
            <w:r>
              <w:t>15 Years After</w:t>
            </w:r>
          </w:p>
        </w:tc>
        <w:tc>
          <w:tcPr>
            <w:tcW w:w="2970" w:type="dxa"/>
          </w:tcPr>
          <w:p w14:paraId="3E0EE81F" w14:textId="3C1E9D9A" w:rsidR="009C1ED2" w:rsidRDefault="009C1ED2" w:rsidP="0061666A">
            <w:r>
              <w:t>30 Years After</w:t>
            </w:r>
          </w:p>
        </w:tc>
      </w:tr>
      <w:tr w:rsidR="009C1ED2" w14:paraId="5CA3E7F9" w14:textId="77777777" w:rsidTr="009C1ED2">
        <w:tc>
          <w:tcPr>
            <w:tcW w:w="2970" w:type="dxa"/>
          </w:tcPr>
          <w:p w14:paraId="5E448AF7" w14:textId="77777777" w:rsidR="009C1ED2" w:rsidRDefault="009C1ED2" w:rsidP="0061666A">
            <w:pPr>
              <w:jc w:val="center"/>
            </w:pPr>
            <w:r>
              <w:t>Brasenose</w:t>
            </w:r>
          </w:p>
        </w:tc>
        <w:tc>
          <w:tcPr>
            <w:tcW w:w="2970" w:type="dxa"/>
          </w:tcPr>
          <w:p w14:paraId="06941CB8" w14:textId="54C0F937" w:rsidR="009C1ED2" w:rsidRDefault="009C1ED2" w:rsidP="0061666A">
            <w:pPr>
              <w:jc w:val="center"/>
            </w:pPr>
            <w:r>
              <w:t>10.7</w:t>
            </w:r>
          </w:p>
        </w:tc>
        <w:tc>
          <w:tcPr>
            <w:tcW w:w="2970" w:type="dxa"/>
          </w:tcPr>
          <w:p w14:paraId="7B1E8366" w14:textId="5F613166" w:rsidR="009C1ED2" w:rsidRDefault="009C1ED2" w:rsidP="0061666A">
            <w:pPr>
              <w:jc w:val="center"/>
            </w:pPr>
            <w:r>
              <w:t>19.4</w:t>
            </w:r>
          </w:p>
        </w:tc>
      </w:tr>
      <w:tr w:rsidR="009C1ED2" w14:paraId="3BE839FE" w14:textId="77777777" w:rsidTr="009C1ED2">
        <w:tc>
          <w:tcPr>
            <w:tcW w:w="2970" w:type="dxa"/>
          </w:tcPr>
          <w:p w14:paraId="1707287B" w14:textId="77777777" w:rsidR="009C1ED2" w:rsidRDefault="009C1ED2" w:rsidP="0061666A">
            <w:r>
              <w:t xml:space="preserve">                  Hertford</w:t>
            </w:r>
          </w:p>
        </w:tc>
        <w:tc>
          <w:tcPr>
            <w:tcW w:w="2970" w:type="dxa"/>
          </w:tcPr>
          <w:p w14:paraId="08A8B52D" w14:textId="55C9198B" w:rsidR="009C1ED2" w:rsidRDefault="009C1ED2" w:rsidP="009C1ED2">
            <w:pPr>
              <w:jc w:val="center"/>
            </w:pPr>
            <w:r>
              <w:t>8.5</w:t>
            </w:r>
          </w:p>
        </w:tc>
        <w:tc>
          <w:tcPr>
            <w:tcW w:w="2970" w:type="dxa"/>
          </w:tcPr>
          <w:p w14:paraId="4B3B458E" w14:textId="77777777" w:rsidR="009C1ED2" w:rsidRDefault="009C1ED2" w:rsidP="0061666A">
            <w:pPr>
              <w:jc w:val="center"/>
            </w:pPr>
            <w:r>
              <w:t>6.5</w:t>
            </w:r>
          </w:p>
        </w:tc>
      </w:tr>
      <w:tr w:rsidR="009C1ED2" w14:paraId="4EC44CF4" w14:textId="77777777" w:rsidTr="009C1ED2">
        <w:tc>
          <w:tcPr>
            <w:tcW w:w="2970" w:type="dxa"/>
          </w:tcPr>
          <w:p w14:paraId="5705A435" w14:textId="77777777" w:rsidR="009C1ED2" w:rsidRDefault="009C1ED2" w:rsidP="0061666A">
            <w:pPr>
              <w:jc w:val="center"/>
            </w:pPr>
            <w:r>
              <w:t>Jesus</w:t>
            </w:r>
          </w:p>
        </w:tc>
        <w:tc>
          <w:tcPr>
            <w:tcW w:w="2970" w:type="dxa"/>
          </w:tcPr>
          <w:p w14:paraId="0E79646B" w14:textId="77777777" w:rsidR="009C1ED2" w:rsidRDefault="009C1ED2" w:rsidP="0061666A">
            <w:pPr>
              <w:jc w:val="center"/>
            </w:pPr>
            <w:r>
              <w:t>4.0</w:t>
            </w:r>
          </w:p>
        </w:tc>
        <w:tc>
          <w:tcPr>
            <w:tcW w:w="2970" w:type="dxa"/>
          </w:tcPr>
          <w:p w14:paraId="620E0435" w14:textId="201AC6F5" w:rsidR="009C1ED2" w:rsidRDefault="009C1ED2" w:rsidP="009C1ED2">
            <w:pPr>
              <w:jc w:val="center"/>
            </w:pPr>
            <w:r>
              <w:t>27.7</w:t>
            </w:r>
          </w:p>
        </w:tc>
      </w:tr>
      <w:tr w:rsidR="009C1ED2" w14:paraId="5D2A1C8E" w14:textId="77777777" w:rsidTr="009C1ED2">
        <w:tc>
          <w:tcPr>
            <w:tcW w:w="2970" w:type="dxa"/>
          </w:tcPr>
          <w:p w14:paraId="5BC91577" w14:textId="77777777" w:rsidR="009C1ED2" w:rsidRDefault="009C1ED2" w:rsidP="0061666A">
            <w:pPr>
              <w:jc w:val="center"/>
            </w:pPr>
            <w:r>
              <w:t>St. Catherine’s</w:t>
            </w:r>
          </w:p>
        </w:tc>
        <w:tc>
          <w:tcPr>
            <w:tcW w:w="2970" w:type="dxa"/>
          </w:tcPr>
          <w:p w14:paraId="4C49547D" w14:textId="1C1C2BB6" w:rsidR="009C1ED2" w:rsidRDefault="009C1ED2" w:rsidP="009C1ED2">
            <w:pPr>
              <w:jc w:val="center"/>
            </w:pPr>
            <w:r>
              <w:t>7.3</w:t>
            </w:r>
          </w:p>
        </w:tc>
        <w:tc>
          <w:tcPr>
            <w:tcW w:w="2970" w:type="dxa"/>
          </w:tcPr>
          <w:p w14:paraId="343B2C95" w14:textId="43A25860" w:rsidR="009C1ED2" w:rsidRDefault="009C1ED2" w:rsidP="009C1ED2">
            <w:pPr>
              <w:jc w:val="center"/>
            </w:pPr>
            <w:r>
              <w:t>19.6</w:t>
            </w:r>
          </w:p>
        </w:tc>
      </w:tr>
      <w:tr w:rsidR="009C1ED2" w14:paraId="7F2CC31D" w14:textId="77777777" w:rsidTr="009C1ED2">
        <w:tc>
          <w:tcPr>
            <w:tcW w:w="2970" w:type="dxa"/>
          </w:tcPr>
          <w:p w14:paraId="339657EA" w14:textId="77777777" w:rsidR="009C1ED2" w:rsidRDefault="009C1ED2" w:rsidP="0061666A">
            <w:pPr>
              <w:jc w:val="center"/>
            </w:pPr>
            <w:r>
              <w:t>Wadham</w:t>
            </w:r>
          </w:p>
        </w:tc>
        <w:tc>
          <w:tcPr>
            <w:tcW w:w="2970" w:type="dxa"/>
          </w:tcPr>
          <w:p w14:paraId="29B78E2A" w14:textId="46529AC5" w:rsidR="009C1ED2" w:rsidRDefault="009C1ED2" w:rsidP="009C1ED2">
            <w:pPr>
              <w:jc w:val="center"/>
            </w:pPr>
            <w:r>
              <w:t>9.0</w:t>
            </w:r>
          </w:p>
        </w:tc>
        <w:tc>
          <w:tcPr>
            <w:tcW w:w="2970" w:type="dxa"/>
          </w:tcPr>
          <w:p w14:paraId="01D5B927" w14:textId="5B1F605A" w:rsidR="009C1ED2" w:rsidRDefault="009C1ED2" w:rsidP="0061666A">
            <w:pPr>
              <w:jc w:val="center"/>
            </w:pPr>
            <w:r>
              <w:t>24.3</w:t>
            </w:r>
          </w:p>
        </w:tc>
      </w:tr>
      <w:tr w:rsidR="009C1ED2" w14:paraId="6DAF97E2" w14:textId="77777777" w:rsidTr="009C1ED2">
        <w:tc>
          <w:tcPr>
            <w:tcW w:w="2970" w:type="dxa"/>
          </w:tcPr>
          <w:p w14:paraId="73462758" w14:textId="77777777" w:rsidR="009C1ED2" w:rsidRDefault="009C1ED2" w:rsidP="0061666A">
            <w:pPr>
              <w:jc w:val="center"/>
            </w:pPr>
            <w:r>
              <w:t>Lady Margaret Hall</w:t>
            </w:r>
          </w:p>
        </w:tc>
        <w:tc>
          <w:tcPr>
            <w:tcW w:w="2970" w:type="dxa"/>
          </w:tcPr>
          <w:p w14:paraId="65605CD1" w14:textId="313B3FFA" w:rsidR="009C1ED2" w:rsidRDefault="009C1ED2" w:rsidP="0061666A">
            <w:pPr>
              <w:jc w:val="center"/>
            </w:pPr>
            <w:r>
              <w:t>53</w:t>
            </w:r>
          </w:p>
        </w:tc>
        <w:tc>
          <w:tcPr>
            <w:tcW w:w="2970" w:type="dxa"/>
          </w:tcPr>
          <w:p w14:paraId="3CD5B5E3" w14:textId="385A6D31" w:rsidR="009C1ED2" w:rsidRDefault="009C1ED2" w:rsidP="0061666A">
            <w:pPr>
              <w:jc w:val="center"/>
            </w:pPr>
            <w:r>
              <w:t>44</w:t>
            </w:r>
          </w:p>
        </w:tc>
      </w:tr>
      <w:tr w:rsidR="009C1ED2" w14:paraId="14A0DFBE" w14:textId="77777777" w:rsidTr="009C1ED2">
        <w:tc>
          <w:tcPr>
            <w:tcW w:w="2970" w:type="dxa"/>
          </w:tcPr>
          <w:p w14:paraId="0462B1D1" w14:textId="77777777" w:rsidR="009C1ED2" w:rsidRDefault="009C1ED2" w:rsidP="0061666A">
            <w:pPr>
              <w:jc w:val="center"/>
            </w:pPr>
            <w:r>
              <w:t>St. Anne’s</w:t>
            </w:r>
          </w:p>
        </w:tc>
        <w:tc>
          <w:tcPr>
            <w:tcW w:w="2970" w:type="dxa"/>
          </w:tcPr>
          <w:p w14:paraId="594C4404" w14:textId="45BB216E" w:rsidR="009C1ED2" w:rsidRDefault="009C1ED2" w:rsidP="0061666A">
            <w:pPr>
              <w:jc w:val="center"/>
            </w:pPr>
            <w:r>
              <w:t>63</w:t>
            </w:r>
          </w:p>
        </w:tc>
        <w:tc>
          <w:tcPr>
            <w:tcW w:w="2970" w:type="dxa"/>
          </w:tcPr>
          <w:p w14:paraId="5DDA23EB" w14:textId="187A7D5E" w:rsidR="009C1ED2" w:rsidRDefault="009C1ED2" w:rsidP="0061666A">
            <w:pPr>
              <w:jc w:val="center"/>
            </w:pPr>
            <w:r>
              <w:t>44</w:t>
            </w:r>
          </w:p>
        </w:tc>
      </w:tr>
      <w:tr w:rsidR="009C1ED2" w14:paraId="7B308697" w14:textId="77777777" w:rsidTr="009C1ED2">
        <w:tc>
          <w:tcPr>
            <w:tcW w:w="2970" w:type="dxa"/>
          </w:tcPr>
          <w:p w14:paraId="7AB428AD" w14:textId="77777777" w:rsidR="009C1ED2" w:rsidRDefault="009C1ED2" w:rsidP="0061666A">
            <w:pPr>
              <w:jc w:val="center"/>
            </w:pPr>
            <w:r>
              <w:t>St. Hilda’s</w:t>
            </w:r>
          </w:p>
        </w:tc>
        <w:tc>
          <w:tcPr>
            <w:tcW w:w="2970" w:type="dxa"/>
          </w:tcPr>
          <w:p w14:paraId="6C897EF0" w14:textId="77777777" w:rsidR="009C1ED2" w:rsidRDefault="009C1ED2" w:rsidP="0061666A">
            <w:pPr>
              <w:jc w:val="center"/>
            </w:pPr>
            <w:r>
              <w:t>415</w:t>
            </w:r>
          </w:p>
        </w:tc>
        <w:tc>
          <w:tcPr>
            <w:tcW w:w="2970" w:type="dxa"/>
          </w:tcPr>
          <w:p w14:paraId="71D7B465" w14:textId="77777777" w:rsidR="009C1ED2" w:rsidRDefault="009C1ED2" w:rsidP="0061666A">
            <w:pPr>
              <w:jc w:val="center"/>
            </w:pPr>
            <w:r>
              <w:t>-</w:t>
            </w:r>
          </w:p>
        </w:tc>
      </w:tr>
      <w:tr w:rsidR="009C1ED2" w14:paraId="5767EF45" w14:textId="77777777" w:rsidTr="009C1ED2">
        <w:tc>
          <w:tcPr>
            <w:tcW w:w="2970" w:type="dxa"/>
          </w:tcPr>
          <w:p w14:paraId="0FA85175" w14:textId="77777777" w:rsidR="009C1ED2" w:rsidRDefault="009C1ED2" w:rsidP="0061666A">
            <w:pPr>
              <w:jc w:val="center"/>
            </w:pPr>
            <w:r>
              <w:t>St. Hugh’s</w:t>
            </w:r>
          </w:p>
        </w:tc>
        <w:tc>
          <w:tcPr>
            <w:tcW w:w="2970" w:type="dxa"/>
          </w:tcPr>
          <w:p w14:paraId="4749C00F" w14:textId="56450024" w:rsidR="009C1ED2" w:rsidRDefault="009C1ED2" w:rsidP="0061666A">
            <w:r>
              <w:t xml:space="preserve">                         33</w:t>
            </w:r>
          </w:p>
        </w:tc>
        <w:tc>
          <w:tcPr>
            <w:tcW w:w="2970" w:type="dxa"/>
          </w:tcPr>
          <w:p w14:paraId="7359CF05" w14:textId="1CF8C308" w:rsidR="009C1ED2" w:rsidRDefault="009C1ED2" w:rsidP="009C1ED2">
            <w:r>
              <w:t xml:space="preserve">                        18</w:t>
            </w:r>
            <w:r w:rsidR="005C102F">
              <w:t>*</w:t>
            </w:r>
          </w:p>
        </w:tc>
      </w:tr>
      <w:tr w:rsidR="009C1ED2" w14:paraId="61FAF888" w14:textId="77777777" w:rsidTr="009C1ED2">
        <w:tc>
          <w:tcPr>
            <w:tcW w:w="2970" w:type="dxa"/>
          </w:tcPr>
          <w:p w14:paraId="49531F07" w14:textId="77777777" w:rsidR="009C1ED2" w:rsidRDefault="009C1ED2" w:rsidP="0061666A">
            <w:pPr>
              <w:jc w:val="center"/>
            </w:pPr>
            <w:r>
              <w:t>Somerville</w:t>
            </w:r>
          </w:p>
        </w:tc>
        <w:tc>
          <w:tcPr>
            <w:tcW w:w="2970" w:type="dxa"/>
          </w:tcPr>
          <w:p w14:paraId="14DA3E24" w14:textId="63FE857D" w:rsidR="009C1ED2" w:rsidRDefault="005C102F" w:rsidP="0061666A">
            <w:pPr>
              <w:jc w:val="center"/>
            </w:pPr>
            <w:r>
              <w:t>102</w:t>
            </w:r>
          </w:p>
        </w:tc>
        <w:tc>
          <w:tcPr>
            <w:tcW w:w="2970" w:type="dxa"/>
          </w:tcPr>
          <w:p w14:paraId="138EA274" w14:textId="4BC91604" w:rsidR="009C1ED2" w:rsidRDefault="005C102F" w:rsidP="0061666A">
            <w:pPr>
              <w:jc w:val="center"/>
            </w:pPr>
            <w:r>
              <w:t>46**</w:t>
            </w:r>
          </w:p>
        </w:tc>
      </w:tr>
      <w:tr w:rsidR="005C102F" w14:paraId="2230FA1A" w14:textId="77777777" w:rsidTr="0061666A">
        <w:trPr>
          <w:gridAfter w:val="1"/>
          <w:wAfter w:w="2970" w:type="dxa"/>
        </w:trPr>
        <w:tc>
          <w:tcPr>
            <w:tcW w:w="2970" w:type="dxa"/>
          </w:tcPr>
          <w:p w14:paraId="10299564" w14:textId="77777777" w:rsidR="005C102F" w:rsidRDefault="005C102F" w:rsidP="0061666A">
            <w:pPr>
              <w:jc w:val="center"/>
            </w:pPr>
            <w:r>
              <w:t>College</w:t>
            </w:r>
          </w:p>
        </w:tc>
        <w:tc>
          <w:tcPr>
            <w:tcW w:w="2970" w:type="dxa"/>
          </w:tcPr>
          <w:p w14:paraId="2654E70F" w14:textId="36CCCF1C" w:rsidR="005C102F" w:rsidRDefault="005C102F" w:rsidP="0061666A">
            <w:pPr>
              <w:jc w:val="center"/>
            </w:pPr>
            <w:r>
              <w:t>40 Years After</w:t>
            </w:r>
          </w:p>
        </w:tc>
      </w:tr>
      <w:tr w:rsidR="005C102F" w14:paraId="0CEF8579" w14:textId="77777777" w:rsidTr="0061666A">
        <w:trPr>
          <w:gridAfter w:val="1"/>
          <w:wAfter w:w="2970" w:type="dxa"/>
        </w:trPr>
        <w:tc>
          <w:tcPr>
            <w:tcW w:w="2970" w:type="dxa"/>
          </w:tcPr>
          <w:p w14:paraId="4BF76E24" w14:textId="77777777" w:rsidR="005C102F" w:rsidRDefault="005C102F" w:rsidP="0061666A">
            <w:pPr>
              <w:jc w:val="center"/>
            </w:pPr>
            <w:r>
              <w:t>Brasenose</w:t>
            </w:r>
          </w:p>
        </w:tc>
        <w:tc>
          <w:tcPr>
            <w:tcW w:w="2970" w:type="dxa"/>
          </w:tcPr>
          <w:p w14:paraId="6E494BD8" w14:textId="2565DF3A" w:rsidR="005C102F" w:rsidRDefault="005C102F" w:rsidP="0061666A">
            <w:pPr>
              <w:jc w:val="center"/>
            </w:pPr>
            <w:r>
              <w:t>25.6</w:t>
            </w:r>
          </w:p>
        </w:tc>
      </w:tr>
      <w:tr w:rsidR="005C102F" w14:paraId="25847E78" w14:textId="77777777" w:rsidTr="0061666A">
        <w:trPr>
          <w:gridAfter w:val="1"/>
          <w:wAfter w:w="2970" w:type="dxa"/>
        </w:trPr>
        <w:tc>
          <w:tcPr>
            <w:tcW w:w="2970" w:type="dxa"/>
          </w:tcPr>
          <w:p w14:paraId="5BE02AED" w14:textId="77777777" w:rsidR="005C102F" w:rsidRDefault="005C102F" w:rsidP="0061666A">
            <w:r>
              <w:t xml:space="preserve">                  Hertford</w:t>
            </w:r>
          </w:p>
        </w:tc>
        <w:tc>
          <w:tcPr>
            <w:tcW w:w="2970" w:type="dxa"/>
          </w:tcPr>
          <w:p w14:paraId="41DBBA3D" w14:textId="4713EE79" w:rsidR="005C102F" w:rsidRDefault="005C102F" w:rsidP="0061666A">
            <w:pPr>
              <w:jc w:val="center"/>
            </w:pPr>
            <w:r>
              <w:t>25.4</w:t>
            </w:r>
          </w:p>
        </w:tc>
      </w:tr>
      <w:tr w:rsidR="005C102F" w14:paraId="4E82BC27" w14:textId="77777777" w:rsidTr="0061666A">
        <w:trPr>
          <w:gridAfter w:val="1"/>
          <w:wAfter w:w="2970" w:type="dxa"/>
        </w:trPr>
        <w:tc>
          <w:tcPr>
            <w:tcW w:w="2970" w:type="dxa"/>
          </w:tcPr>
          <w:p w14:paraId="66F47FEF" w14:textId="77777777" w:rsidR="005C102F" w:rsidRDefault="005C102F" w:rsidP="0061666A">
            <w:pPr>
              <w:jc w:val="center"/>
            </w:pPr>
            <w:r>
              <w:t>Jesus</w:t>
            </w:r>
          </w:p>
        </w:tc>
        <w:tc>
          <w:tcPr>
            <w:tcW w:w="2970" w:type="dxa"/>
          </w:tcPr>
          <w:p w14:paraId="4CDCD275" w14:textId="6A0B7B80" w:rsidR="005C102F" w:rsidRDefault="005C102F" w:rsidP="0061666A">
            <w:pPr>
              <w:jc w:val="center"/>
            </w:pPr>
            <w:r>
              <w:t>50.0</w:t>
            </w:r>
          </w:p>
        </w:tc>
      </w:tr>
      <w:tr w:rsidR="005C102F" w14:paraId="59CD741A" w14:textId="77777777" w:rsidTr="0061666A">
        <w:trPr>
          <w:gridAfter w:val="1"/>
          <w:wAfter w:w="2970" w:type="dxa"/>
        </w:trPr>
        <w:tc>
          <w:tcPr>
            <w:tcW w:w="2970" w:type="dxa"/>
          </w:tcPr>
          <w:p w14:paraId="0879025B" w14:textId="77777777" w:rsidR="005C102F" w:rsidRDefault="005C102F" w:rsidP="0061666A">
            <w:pPr>
              <w:jc w:val="center"/>
            </w:pPr>
            <w:r>
              <w:t>St. Catherine’s</w:t>
            </w:r>
          </w:p>
        </w:tc>
        <w:tc>
          <w:tcPr>
            <w:tcW w:w="2970" w:type="dxa"/>
          </w:tcPr>
          <w:p w14:paraId="255C1CE6" w14:textId="504E8C87" w:rsidR="005C102F" w:rsidRDefault="005C102F" w:rsidP="0061666A">
            <w:pPr>
              <w:jc w:val="center"/>
            </w:pPr>
            <w:r>
              <w:t>38.6</w:t>
            </w:r>
          </w:p>
        </w:tc>
      </w:tr>
      <w:tr w:rsidR="005C102F" w14:paraId="1E6FBD6F" w14:textId="77777777" w:rsidTr="0061666A">
        <w:trPr>
          <w:gridAfter w:val="1"/>
          <w:wAfter w:w="2970" w:type="dxa"/>
        </w:trPr>
        <w:tc>
          <w:tcPr>
            <w:tcW w:w="2970" w:type="dxa"/>
          </w:tcPr>
          <w:p w14:paraId="39EBED66" w14:textId="77777777" w:rsidR="005C102F" w:rsidRDefault="005C102F" w:rsidP="0061666A">
            <w:pPr>
              <w:jc w:val="center"/>
            </w:pPr>
            <w:r>
              <w:t>Wadham</w:t>
            </w:r>
          </w:p>
        </w:tc>
        <w:tc>
          <w:tcPr>
            <w:tcW w:w="2970" w:type="dxa"/>
          </w:tcPr>
          <w:p w14:paraId="2AFF47BC" w14:textId="680BDA93" w:rsidR="005C102F" w:rsidRDefault="005C102F" w:rsidP="0061666A">
            <w:pPr>
              <w:jc w:val="center"/>
            </w:pPr>
            <w:r>
              <w:t>41.2</w:t>
            </w:r>
          </w:p>
        </w:tc>
      </w:tr>
    </w:tbl>
    <w:p w14:paraId="4EB12030" w14:textId="77777777" w:rsidR="00156288" w:rsidRDefault="00156288" w:rsidP="00156288">
      <w:pPr>
        <w:jc w:val="center"/>
      </w:pPr>
    </w:p>
    <w:p w14:paraId="7071FC45" w14:textId="77777777" w:rsidR="005C102F" w:rsidRDefault="005C102F" w:rsidP="00156288">
      <w:pPr>
        <w:jc w:val="center"/>
      </w:pPr>
    </w:p>
    <w:p w14:paraId="5FE7CC1D" w14:textId="376430ED" w:rsidR="005C102F" w:rsidRDefault="005C102F" w:rsidP="005C102F">
      <w:pPr>
        <w:pStyle w:val="ListParagraph"/>
        <w:ind w:left="1440"/>
      </w:pPr>
      <w:r>
        <w:t>* 29 years after coresidence</w:t>
      </w:r>
    </w:p>
    <w:p w14:paraId="6B0D6700" w14:textId="6B268A56" w:rsidR="005C102F" w:rsidRDefault="005C102F" w:rsidP="005C102F">
      <w:pPr>
        <w:ind w:left="720"/>
      </w:pPr>
      <w:r>
        <w:t>**21 years after coresidence</w:t>
      </w:r>
    </w:p>
    <w:p w14:paraId="492B2950" w14:textId="77777777" w:rsidR="005C102F" w:rsidRDefault="005C102F" w:rsidP="005C102F">
      <w:pPr>
        <w:pStyle w:val="ListParagraph"/>
      </w:pPr>
    </w:p>
    <w:p w14:paraId="4D091FFD" w14:textId="21EF28E7" w:rsidR="0072211E" w:rsidRDefault="00156288">
      <w:r>
        <w:br w:type="page"/>
      </w:r>
    </w:p>
    <w:p w14:paraId="6AA8E82C" w14:textId="77777777" w:rsidR="00B615DC" w:rsidRDefault="00B615DC" w:rsidP="00526A59">
      <w:pPr>
        <w:spacing w:after="0" w:line="240" w:lineRule="auto"/>
      </w:pPr>
    </w:p>
    <w:p w14:paraId="6CDFDFCF" w14:textId="6F00F2CB" w:rsidR="00B615DC" w:rsidRDefault="00B615DC"/>
    <w:p w14:paraId="639A03C1" w14:textId="77777777" w:rsidR="00F425A6" w:rsidRDefault="00F425A6" w:rsidP="005F3DE1">
      <w:pPr>
        <w:spacing w:after="0" w:line="240" w:lineRule="auto"/>
        <w:jc w:val="center"/>
      </w:pPr>
    </w:p>
    <w:tbl>
      <w:tblPr>
        <w:tblW w:w="8140" w:type="dxa"/>
        <w:tblLook w:val="04A0" w:firstRow="1" w:lastRow="0" w:firstColumn="1" w:lastColumn="0" w:noHBand="0" w:noVBand="1"/>
      </w:tblPr>
      <w:tblGrid>
        <w:gridCol w:w="5517"/>
        <w:gridCol w:w="1196"/>
        <w:gridCol w:w="411"/>
        <w:gridCol w:w="916"/>
        <w:gridCol w:w="411"/>
      </w:tblGrid>
      <w:tr w:rsidR="00B52AE5" w:rsidRPr="00B52AE5" w14:paraId="7788F878" w14:textId="77777777" w:rsidTr="00B52AE5">
        <w:trPr>
          <w:trHeight w:val="320"/>
        </w:trPr>
        <w:tc>
          <w:tcPr>
            <w:tcW w:w="8140" w:type="dxa"/>
            <w:gridSpan w:val="5"/>
            <w:tcBorders>
              <w:top w:val="nil"/>
              <w:left w:val="nil"/>
              <w:bottom w:val="nil"/>
              <w:right w:val="nil"/>
            </w:tcBorders>
            <w:shd w:val="clear" w:color="000000" w:fill="FFFFFF"/>
            <w:vAlign w:val="bottom"/>
            <w:hideMark/>
          </w:tcPr>
          <w:p w14:paraId="3D260B36" w14:textId="4E5ACE29" w:rsidR="00B52AE5" w:rsidRPr="00B52AE5" w:rsidRDefault="00385B73" w:rsidP="00B52A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p>
        </w:tc>
      </w:tr>
      <w:tr w:rsidR="00B52AE5" w:rsidRPr="00B52AE5" w14:paraId="1198FC1E" w14:textId="77777777" w:rsidTr="00B52AE5">
        <w:trPr>
          <w:trHeight w:val="320"/>
        </w:trPr>
        <w:tc>
          <w:tcPr>
            <w:tcW w:w="8140" w:type="dxa"/>
            <w:gridSpan w:val="5"/>
            <w:tcBorders>
              <w:top w:val="nil"/>
              <w:left w:val="nil"/>
              <w:bottom w:val="single" w:sz="4" w:space="0" w:color="auto"/>
              <w:right w:val="nil"/>
            </w:tcBorders>
            <w:shd w:val="clear" w:color="000000" w:fill="FFFFFF"/>
            <w:vAlign w:val="bottom"/>
            <w:hideMark/>
          </w:tcPr>
          <w:p w14:paraId="5CB11C56" w14:textId="77777777" w:rsidR="00B52AE5" w:rsidRPr="00B52AE5" w:rsidRDefault="00B52AE5" w:rsidP="00B52AE5">
            <w:pPr>
              <w:spacing w:after="0" w:line="240" w:lineRule="auto"/>
              <w:jc w:val="center"/>
              <w:rPr>
                <w:rFonts w:ascii="Times New Roman" w:eastAsia="Times New Roman" w:hAnsi="Times New Roman" w:cs="Times New Roman"/>
                <w:b/>
                <w:bCs/>
                <w:sz w:val="24"/>
                <w:szCs w:val="24"/>
              </w:rPr>
            </w:pPr>
            <w:r w:rsidRPr="00B52AE5">
              <w:rPr>
                <w:rFonts w:ascii="Times New Roman" w:eastAsia="Times New Roman" w:hAnsi="Times New Roman" w:cs="Times New Roman"/>
                <w:b/>
                <w:bCs/>
                <w:sz w:val="24"/>
                <w:szCs w:val="24"/>
              </w:rPr>
              <w:t>Linear Regression Estimates of the Determinates of Percent Women Faculty</w:t>
            </w:r>
          </w:p>
        </w:tc>
      </w:tr>
      <w:tr w:rsidR="00B52AE5" w:rsidRPr="00B52AE5" w14:paraId="3CA7BB91" w14:textId="77777777" w:rsidTr="00B52AE5">
        <w:trPr>
          <w:trHeight w:val="340"/>
        </w:trPr>
        <w:tc>
          <w:tcPr>
            <w:tcW w:w="5517" w:type="dxa"/>
            <w:tcBorders>
              <w:top w:val="nil"/>
              <w:left w:val="nil"/>
              <w:bottom w:val="double" w:sz="6" w:space="0" w:color="auto"/>
              <w:right w:val="single" w:sz="4" w:space="0" w:color="auto"/>
            </w:tcBorders>
            <w:shd w:val="clear" w:color="000000" w:fill="FFFFFF"/>
            <w:noWrap/>
            <w:vAlign w:val="bottom"/>
            <w:hideMark/>
          </w:tcPr>
          <w:p w14:paraId="350CBB74" w14:textId="77777777" w:rsidR="00B52AE5" w:rsidRPr="00B52AE5" w:rsidRDefault="00B52AE5" w:rsidP="00B52AE5">
            <w:pPr>
              <w:spacing w:after="0" w:line="240" w:lineRule="auto"/>
              <w:rPr>
                <w:rFonts w:ascii="Times New Roman" w:eastAsia="Times New Roman" w:hAnsi="Times New Roman" w:cs="Times New Roman"/>
                <w:b/>
                <w:bCs/>
                <w:sz w:val="24"/>
                <w:szCs w:val="24"/>
              </w:rPr>
            </w:pPr>
            <w:r w:rsidRPr="00B52AE5">
              <w:rPr>
                <w:rFonts w:ascii="Times New Roman" w:eastAsia="Times New Roman" w:hAnsi="Times New Roman" w:cs="Times New Roman"/>
                <w:b/>
                <w:bCs/>
                <w:sz w:val="24"/>
                <w:szCs w:val="24"/>
              </w:rPr>
              <w:t xml:space="preserve">Variable </w:t>
            </w:r>
          </w:p>
        </w:tc>
        <w:tc>
          <w:tcPr>
            <w:tcW w:w="1434" w:type="dxa"/>
            <w:gridSpan w:val="2"/>
            <w:tcBorders>
              <w:top w:val="single" w:sz="4" w:space="0" w:color="auto"/>
              <w:left w:val="nil"/>
              <w:bottom w:val="double" w:sz="6" w:space="0" w:color="auto"/>
              <w:right w:val="single" w:sz="4" w:space="0" w:color="000000"/>
            </w:tcBorders>
            <w:shd w:val="clear" w:color="000000" w:fill="FFFFFF"/>
            <w:vAlign w:val="bottom"/>
            <w:hideMark/>
          </w:tcPr>
          <w:p w14:paraId="44801F97" w14:textId="77777777" w:rsidR="00B52AE5" w:rsidRPr="00B52AE5" w:rsidRDefault="00B52AE5" w:rsidP="00B52AE5">
            <w:pPr>
              <w:spacing w:after="0" w:line="240" w:lineRule="auto"/>
              <w:jc w:val="center"/>
              <w:rPr>
                <w:rFonts w:ascii="Times New Roman" w:eastAsia="Times New Roman" w:hAnsi="Times New Roman" w:cs="Times New Roman"/>
                <w:b/>
                <w:bCs/>
                <w:color w:val="000000"/>
                <w:sz w:val="24"/>
                <w:szCs w:val="24"/>
              </w:rPr>
            </w:pPr>
            <w:r w:rsidRPr="00B52AE5">
              <w:rPr>
                <w:rFonts w:ascii="Times New Roman" w:eastAsia="Times New Roman" w:hAnsi="Times New Roman" w:cs="Times New Roman"/>
                <w:b/>
                <w:bCs/>
                <w:color w:val="000000"/>
                <w:sz w:val="24"/>
                <w:szCs w:val="24"/>
              </w:rPr>
              <w:t>(1)</w:t>
            </w:r>
          </w:p>
        </w:tc>
        <w:tc>
          <w:tcPr>
            <w:tcW w:w="1189" w:type="dxa"/>
            <w:gridSpan w:val="2"/>
            <w:tcBorders>
              <w:top w:val="nil"/>
              <w:left w:val="nil"/>
              <w:bottom w:val="double" w:sz="6" w:space="0" w:color="auto"/>
              <w:right w:val="nil"/>
            </w:tcBorders>
            <w:shd w:val="clear" w:color="000000" w:fill="FFFFFF"/>
            <w:vAlign w:val="bottom"/>
            <w:hideMark/>
          </w:tcPr>
          <w:p w14:paraId="0248C484" w14:textId="77777777" w:rsidR="00B52AE5" w:rsidRPr="00B52AE5" w:rsidRDefault="00B52AE5" w:rsidP="00B52AE5">
            <w:pPr>
              <w:spacing w:after="0" w:line="240" w:lineRule="auto"/>
              <w:jc w:val="center"/>
              <w:rPr>
                <w:rFonts w:ascii="Times New Roman" w:eastAsia="Times New Roman" w:hAnsi="Times New Roman" w:cs="Times New Roman"/>
                <w:b/>
                <w:bCs/>
                <w:color w:val="000000"/>
                <w:sz w:val="24"/>
                <w:szCs w:val="24"/>
              </w:rPr>
            </w:pPr>
            <w:r w:rsidRPr="00B52AE5">
              <w:rPr>
                <w:rFonts w:ascii="Times New Roman" w:eastAsia="Times New Roman" w:hAnsi="Times New Roman" w:cs="Times New Roman"/>
                <w:b/>
                <w:bCs/>
                <w:color w:val="000000"/>
                <w:sz w:val="24"/>
                <w:szCs w:val="24"/>
              </w:rPr>
              <w:t>(2)</w:t>
            </w:r>
          </w:p>
        </w:tc>
      </w:tr>
      <w:tr w:rsidR="00B52AE5" w:rsidRPr="00B52AE5" w14:paraId="78E6694A" w14:textId="77777777" w:rsidTr="00B52AE5">
        <w:trPr>
          <w:trHeight w:val="340"/>
        </w:trPr>
        <w:tc>
          <w:tcPr>
            <w:tcW w:w="5517" w:type="dxa"/>
            <w:vMerge w:val="restart"/>
            <w:tcBorders>
              <w:top w:val="nil"/>
              <w:left w:val="nil"/>
              <w:bottom w:val="nil"/>
              <w:right w:val="single" w:sz="4" w:space="0" w:color="auto"/>
            </w:tcBorders>
            <w:shd w:val="clear" w:color="000000" w:fill="FFFFFF"/>
            <w:vAlign w:val="center"/>
            <w:hideMark/>
          </w:tcPr>
          <w:p w14:paraId="09D38BB0"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Coresidence</w:t>
            </w:r>
          </w:p>
        </w:tc>
        <w:tc>
          <w:tcPr>
            <w:tcW w:w="1196" w:type="dxa"/>
            <w:tcBorders>
              <w:top w:val="nil"/>
              <w:left w:val="nil"/>
              <w:bottom w:val="nil"/>
              <w:right w:val="nil"/>
            </w:tcBorders>
            <w:shd w:val="clear" w:color="000000" w:fill="FFFFFF"/>
            <w:noWrap/>
            <w:vAlign w:val="bottom"/>
            <w:hideMark/>
          </w:tcPr>
          <w:p w14:paraId="13A29989"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0.097</w:t>
            </w:r>
          </w:p>
        </w:tc>
        <w:tc>
          <w:tcPr>
            <w:tcW w:w="238" w:type="dxa"/>
            <w:tcBorders>
              <w:top w:val="nil"/>
              <w:left w:val="nil"/>
              <w:bottom w:val="nil"/>
              <w:right w:val="single" w:sz="4" w:space="0" w:color="auto"/>
            </w:tcBorders>
            <w:shd w:val="clear" w:color="000000" w:fill="FFFFFF"/>
            <w:noWrap/>
            <w:vAlign w:val="center"/>
            <w:hideMark/>
          </w:tcPr>
          <w:p w14:paraId="5FE8D1E4"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c>
          <w:tcPr>
            <w:tcW w:w="909" w:type="dxa"/>
            <w:tcBorders>
              <w:top w:val="nil"/>
              <w:left w:val="nil"/>
              <w:bottom w:val="nil"/>
              <w:right w:val="nil"/>
            </w:tcBorders>
            <w:shd w:val="clear" w:color="000000" w:fill="FFFFFF"/>
            <w:noWrap/>
            <w:vAlign w:val="bottom"/>
            <w:hideMark/>
          </w:tcPr>
          <w:p w14:paraId="01C90FB8"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0.077</w:t>
            </w:r>
          </w:p>
        </w:tc>
        <w:tc>
          <w:tcPr>
            <w:tcW w:w="280" w:type="dxa"/>
            <w:tcBorders>
              <w:top w:val="nil"/>
              <w:left w:val="nil"/>
              <w:bottom w:val="nil"/>
              <w:right w:val="nil"/>
            </w:tcBorders>
            <w:shd w:val="clear" w:color="000000" w:fill="FFFFFF"/>
            <w:noWrap/>
            <w:vAlign w:val="center"/>
            <w:hideMark/>
          </w:tcPr>
          <w:p w14:paraId="196CAAF0"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r>
      <w:tr w:rsidR="00B52AE5" w:rsidRPr="00B52AE5" w14:paraId="4EEC3A2C" w14:textId="77777777" w:rsidTr="00B52AE5">
        <w:trPr>
          <w:trHeight w:val="320"/>
        </w:trPr>
        <w:tc>
          <w:tcPr>
            <w:tcW w:w="5517" w:type="dxa"/>
            <w:vMerge/>
            <w:tcBorders>
              <w:top w:val="nil"/>
              <w:left w:val="nil"/>
              <w:bottom w:val="nil"/>
              <w:right w:val="single" w:sz="4" w:space="0" w:color="auto"/>
            </w:tcBorders>
            <w:vAlign w:val="center"/>
            <w:hideMark/>
          </w:tcPr>
          <w:p w14:paraId="3A624441" w14:textId="77777777" w:rsidR="00B52AE5" w:rsidRPr="00B52AE5" w:rsidRDefault="00B52AE5" w:rsidP="00B52AE5">
            <w:pPr>
              <w:spacing w:after="0" w:line="240" w:lineRule="auto"/>
              <w:rPr>
                <w:rFonts w:ascii="Times New Roman" w:eastAsia="Times New Roman" w:hAnsi="Times New Roman" w:cs="Times New Roman"/>
                <w:sz w:val="24"/>
                <w:szCs w:val="24"/>
              </w:rPr>
            </w:pPr>
          </w:p>
        </w:tc>
        <w:tc>
          <w:tcPr>
            <w:tcW w:w="1196" w:type="dxa"/>
            <w:tcBorders>
              <w:top w:val="nil"/>
              <w:left w:val="nil"/>
              <w:bottom w:val="nil"/>
              <w:right w:val="nil"/>
            </w:tcBorders>
            <w:shd w:val="clear" w:color="000000" w:fill="FFFFFF"/>
            <w:noWrap/>
            <w:vAlign w:val="bottom"/>
            <w:hideMark/>
          </w:tcPr>
          <w:p w14:paraId="66E13B91"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(0.011)</w:t>
            </w:r>
          </w:p>
        </w:tc>
        <w:tc>
          <w:tcPr>
            <w:tcW w:w="238" w:type="dxa"/>
            <w:tcBorders>
              <w:top w:val="nil"/>
              <w:left w:val="nil"/>
              <w:bottom w:val="nil"/>
              <w:right w:val="single" w:sz="4" w:space="0" w:color="auto"/>
            </w:tcBorders>
            <w:shd w:val="clear" w:color="000000" w:fill="FFFFFF"/>
            <w:noWrap/>
            <w:vAlign w:val="center"/>
            <w:hideMark/>
          </w:tcPr>
          <w:p w14:paraId="69B70E3A" w14:textId="77777777" w:rsidR="00B52AE5" w:rsidRPr="00B52AE5" w:rsidRDefault="00B52AE5" w:rsidP="00B52AE5">
            <w:pPr>
              <w:spacing w:after="0" w:line="240" w:lineRule="auto"/>
              <w:jc w:val="center"/>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rPr>
              <w:t> </w:t>
            </w:r>
          </w:p>
        </w:tc>
        <w:tc>
          <w:tcPr>
            <w:tcW w:w="909" w:type="dxa"/>
            <w:tcBorders>
              <w:top w:val="nil"/>
              <w:left w:val="nil"/>
              <w:bottom w:val="nil"/>
              <w:right w:val="nil"/>
            </w:tcBorders>
            <w:shd w:val="clear" w:color="000000" w:fill="FFFFFF"/>
            <w:noWrap/>
            <w:vAlign w:val="bottom"/>
            <w:hideMark/>
          </w:tcPr>
          <w:p w14:paraId="2EA9BE22"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(0.011)</w:t>
            </w:r>
          </w:p>
        </w:tc>
        <w:tc>
          <w:tcPr>
            <w:tcW w:w="280" w:type="dxa"/>
            <w:tcBorders>
              <w:top w:val="nil"/>
              <w:left w:val="nil"/>
              <w:bottom w:val="nil"/>
              <w:right w:val="nil"/>
            </w:tcBorders>
            <w:shd w:val="clear" w:color="000000" w:fill="FFFFFF"/>
            <w:noWrap/>
            <w:vAlign w:val="center"/>
            <w:hideMark/>
          </w:tcPr>
          <w:p w14:paraId="40EFE9E1" w14:textId="77777777" w:rsidR="00B52AE5" w:rsidRPr="00B52AE5" w:rsidRDefault="00B52AE5" w:rsidP="00B52AE5">
            <w:pPr>
              <w:spacing w:after="0" w:line="240" w:lineRule="auto"/>
              <w:jc w:val="center"/>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rPr>
              <w:t> </w:t>
            </w:r>
          </w:p>
        </w:tc>
      </w:tr>
      <w:tr w:rsidR="00B52AE5" w:rsidRPr="00B52AE5" w14:paraId="2C0783FC" w14:textId="77777777" w:rsidTr="00B52AE5">
        <w:trPr>
          <w:trHeight w:val="320"/>
        </w:trPr>
        <w:tc>
          <w:tcPr>
            <w:tcW w:w="5517" w:type="dxa"/>
            <w:vMerge w:val="restart"/>
            <w:tcBorders>
              <w:top w:val="nil"/>
              <w:left w:val="nil"/>
              <w:bottom w:val="nil"/>
              <w:right w:val="single" w:sz="4" w:space="0" w:color="auto"/>
            </w:tcBorders>
            <w:shd w:val="clear" w:color="000000" w:fill="FFFFFF"/>
            <w:vAlign w:val="center"/>
            <w:hideMark/>
          </w:tcPr>
          <w:p w14:paraId="5780973B"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Coresidence × Originally Female College</w:t>
            </w:r>
          </w:p>
        </w:tc>
        <w:tc>
          <w:tcPr>
            <w:tcW w:w="1196" w:type="dxa"/>
            <w:tcBorders>
              <w:top w:val="nil"/>
              <w:left w:val="nil"/>
              <w:bottom w:val="nil"/>
              <w:right w:val="nil"/>
            </w:tcBorders>
            <w:shd w:val="clear" w:color="000000" w:fill="FFFFFF"/>
            <w:noWrap/>
            <w:vAlign w:val="bottom"/>
            <w:hideMark/>
          </w:tcPr>
          <w:p w14:paraId="7B3685D3"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-0.617</w:t>
            </w:r>
          </w:p>
        </w:tc>
        <w:tc>
          <w:tcPr>
            <w:tcW w:w="238" w:type="dxa"/>
            <w:tcBorders>
              <w:top w:val="nil"/>
              <w:left w:val="nil"/>
              <w:bottom w:val="nil"/>
              <w:right w:val="single" w:sz="4" w:space="0" w:color="auto"/>
            </w:tcBorders>
            <w:shd w:val="clear" w:color="000000" w:fill="FFFFFF"/>
            <w:noWrap/>
            <w:vAlign w:val="center"/>
            <w:hideMark/>
          </w:tcPr>
          <w:p w14:paraId="75B8F638"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c>
          <w:tcPr>
            <w:tcW w:w="909" w:type="dxa"/>
            <w:tcBorders>
              <w:top w:val="nil"/>
              <w:left w:val="nil"/>
              <w:bottom w:val="nil"/>
              <w:right w:val="nil"/>
            </w:tcBorders>
            <w:shd w:val="clear" w:color="000000" w:fill="FFFFFF"/>
            <w:noWrap/>
            <w:vAlign w:val="bottom"/>
            <w:hideMark/>
          </w:tcPr>
          <w:p w14:paraId="53CACB3D"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-0.584</w:t>
            </w:r>
          </w:p>
        </w:tc>
        <w:tc>
          <w:tcPr>
            <w:tcW w:w="280" w:type="dxa"/>
            <w:tcBorders>
              <w:top w:val="nil"/>
              <w:left w:val="nil"/>
              <w:bottom w:val="nil"/>
              <w:right w:val="nil"/>
            </w:tcBorders>
            <w:shd w:val="clear" w:color="000000" w:fill="FFFFFF"/>
            <w:noWrap/>
            <w:vAlign w:val="center"/>
            <w:hideMark/>
          </w:tcPr>
          <w:p w14:paraId="25E3B79B"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r>
      <w:tr w:rsidR="00B52AE5" w:rsidRPr="00B52AE5" w14:paraId="208ECBB0" w14:textId="77777777" w:rsidTr="00B52AE5">
        <w:trPr>
          <w:trHeight w:val="320"/>
        </w:trPr>
        <w:tc>
          <w:tcPr>
            <w:tcW w:w="5517" w:type="dxa"/>
            <w:vMerge/>
            <w:tcBorders>
              <w:top w:val="nil"/>
              <w:left w:val="nil"/>
              <w:bottom w:val="nil"/>
              <w:right w:val="single" w:sz="4" w:space="0" w:color="auto"/>
            </w:tcBorders>
            <w:vAlign w:val="center"/>
            <w:hideMark/>
          </w:tcPr>
          <w:p w14:paraId="375F29BF" w14:textId="77777777" w:rsidR="00B52AE5" w:rsidRPr="00B52AE5" w:rsidRDefault="00B52AE5" w:rsidP="00B52AE5">
            <w:pPr>
              <w:spacing w:after="0" w:line="240" w:lineRule="auto"/>
              <w:rPr>
                <w:rFonts w:ascii="Times New Roman" w:eastAsia="Times New Roman" w:hAnsi="Times New Roman" w:cs="Times New Roman"/>
                <w:sz w:val="24"/>
                <w:szCs w:val="24"/>
              </w:rPr>
            </w:pPr>
          </w:p>
        </w:tc>
        <w:tc>
          <w:tcPr>
            <w:tcW w:w="1196" w:type="dxa"/>
            <w:tcBorders>
              <w:top w:val="nil"/>
              <w:left w:val="nil"/>
              <w:bottom w:val="nil"/>
              <w:right w:val="nil"/>
            </w:tcBorders>
            <w:shd w:val="clear" w:color="000000" w:fill="FFFFFF"/>
            <w:noWrap/>
            <w:vAlign w:val="bottom"/>
            <w:hideMark/>
          </w:tcPr>
          <w:p w14:paraId="58D15E00"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(0.023)</w:t>
            </w:r>
          </w:p>
        </w:tc>
        <w:tc>
          <w:tcPr>
            <w:tcW w:w="238" w:type="dxa"/>
            <w:tcBorders>
              <w:top w:val="nil"/>
              <w:left w:val="nil"/>
              <w:bottom w:val="nil"/>
              <w:right w:val="single" w:sz="4" w:space="0" w:color="auto"/>
            </w:tcBorders>
            <w:shd w:val="clear" w:color="000000" w:fill="FFFFFF"/>
            <w:noWrap/>
            <w:vAlign w:val="center"/>
            <w:hideMark/>
          </w:tcPr>
          <w:p w14:paraId="73100921"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nil"/>
              <w:right w:val="nil"/>
            </w:tcBorders>
            <w:shd w:val="clear" w:color="000000" w:fill="FFFFFF"/>
            <w:noWrap/>
            <w:vAlign w:val="bottom"/>
            <w:hideMark/>
          </w:tcPr>
          <w:p w14:paraId="493B1CBE"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(0.025)</w:t>
            </w:r>
          </w:p>
        </w:tc>
        <w:tc>
          <w:tcPr>
            <w:tcW w:w="280" w:type="dxa"/>
            <w:tcBorders>
              <w:top w:val="nil"/>
              <w:left w:val="nil"/>
              <w:bottom w:val="nil"/>
              <w:right w:val="nil"/>
            </w:tcBorders>
            <w:shd w:val="clear" w:color="000000" w:fill="FFFFFF"/>
            <w:noWrap/>
            <w:vAlign w:val="center"/>
            <w:hideMark/>
          </w:tcPr>
          <w:p w14:paraId="7BCA7245" w14:textId="77777777" w:rsidR="00B52AE5" w:rsidRPr="00B52AE5" w:rsidRDefault="00B52AE5" w:rsidP="00B52AE5">
            <w:pPr>
              <w:spacing w:after="0" w:line="240" w:lineRule="auto"/>
              <w:jc w:val="center"/>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rPr>
              <w:t> </w:t>
            </w:r>
          </w:p>
        </w:tc>
      </w:tr>
      <w:tr w:rsidR="00B52AE5" w:rsidRPr="00B52AE5" w14:paraId="20B5D345" w14:textId="77777777" w:rsidTr="00B52AE5">
        <w:trPr>
          <w:trHeight w:val="320"/>
        </w:trPr>
        <w:tc>
          <w:tcPr>
            <w:tcW w:w="5517" w:type="dxa"/>
            <w:vMerge w:val="restart"/>
            <w:tcBorders>
              <w:top w:val="nil"/>
              <w:left w:val="nil"/>
              <w:bottom w:val="nil"/>
              <w:right w:val="single" w:sz="4" w:space="0" w:color="auto"/>
            </w:tcBorders>
            <w:shd w:val="clear" w:color="000000" w:fill="FFFFFF"/>
            <w:vAlign w:val="center"/>
            <w:hideMark/>
          </w:tcPr>
          <w:p w14:paraId="2128D3EA"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Male Head of College</w:t>
            </w:r>
          </w:p>
        </w:tc>
        <w:tc>
          <w:tcPr>
            <w:tcW w:w="1196" w:type="dxa"/>
            <w:tcBorders>
              <w:top w:val="nil"/>
              <w:left w:val="nil"/>
              <w:bottom w:val="nil"/>
              <w:right w:val="nil"/>
            </w:tcBorders>
            <w:shd w:val="clear" w:color="000000" w:fill="FFFFFF"/>
            <w:noWrap/>
            <w:vAlign w:val="bottom"/>
            <w:hideMark/>
          </w:tcPr>
          <w:p w14:paraId="36567B98"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-0.079</w:t>
            </w:r>
          </w:p>
        </w:tc>
        <w:tc>
          <w:tcPr>
            <w:tcW w:w="238" w:type="dxa"/>
            <w:tcBorders>
              <w:top w:val="nil"/>
              <w:left w:val="nil"/>
              <w:bottom w:val="nil"/>
              <w:right w:val="single" w:sz="4" w:space="0" w:color="auto"/>
            </w:tcBorders>
            <w:shd w:val="clear" w:color="000000" w:fill="FFFFFF"/>
            <w:noWrap/>
            <w:vAlign w:val="center"/>
            <w:hideMark/>
          </w:tcPr>
          <w:p w14:paraId="2ED049EA"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c>
          <w:tcPr>
            <w:tcW w:w="909" w:type="dxa"/>
            <w:tcBorders>
              <w:top w:val="nil"/>
              <w:left w:val="nil"/>
              <w:bottom w:val="nil"/>
              <w:right w:val="nil"/>
            </w:tcBorders>
            <w:shd w:val="clear" w:color="000000" w:fill="FFFFFF"/>
            <w:noWrap/>
            <w:vAlign w:val="bottom"/>
            <w:hideMark/>
          </w:tcPr>
          <w:p w14:paraId="07B06BBB"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-0.079</w:t>
            </w:r>
          </w:p>
        </w:tc>
        <w:tc>
          <w:tcPr>
            <w:tcW w:w="280" w:type="dxa"/>
            <w:tcBorders>
              <w:top w:val="nil"/>
              <w:left w:val="nil"/>
              <w:bottom w:val="nil"/>
              <w:right w:val="nil"/>
            </w:tcBorders>
            <w:shd w:val="clear" w:color="000000" w:fill="FFFFFF"/>
            <w:noWrap/>
            <w:vAlign w:val="center"/>
            <w:hideMark/>
          </w:tcPr>
          <w:p w14:paraId="1621909F"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r>
      <w:tr w:rsidR="00B52AE5" w:rsidRPr="00B52AE5" w14:paraId="0FDBD505" w14:textId="77777777" w:rsidTr="00B52AE5">
        <w:trPr>
          <w:trHeight w:val="320"/>
        </w:trPr>
        <w:tc>
          <w:tcPr>
            <w:tcW w:w="5517" w:type="dxa"/>
            <w:vMerge/>
            <w:tcBorders>
              <w:top w:val="nil"/>
              <w:left w:val="nil"/>
              <w:bottom w:val="nil"/>
              <w:right w:val="single" w:sz="4" w:space="0" w:color="auto"/>
            </w:tcBorders>
            <w:vAlign w:val="center"/>
            <w:hideMark/>
          </w:tcPr>
          <w:p w14:paraId="7A76B7AF" w14:textId="77777777" w:rsidR="00B52AE5" w:rsidRPr="00B52AE5" w:rsidRDefault="00B52AE5" w:rsidP="00B52AE5">
            <w:pPr>
              <w:spacing w:after="0" w:line="240" w:lineRule="auto"/>
              <w:rPr>
                <w:rFonts w:ascii="Times New Roman" w:eastAsia="Times New Roman" w:hAnsi="Times New Roman" w:cs="Times New Roman"/>
                <w:sz w:val="24"/>
                <w:szCs w:val="24"/>
              </w:rPr>
            </w:pPr>
          </w:p>
        </w:tc>
        <w:tc>
          <w:tcPr>
            <w:tcW w:w="1196" w:type="dxa"/>
            <w:tcBorders>
              <w:top w:val="nil"/>
              <w:left w:val="nil"/>
              <w:bottom w:val="nil"/>
              <w:right w:val="nil"/>
            </w:tcBorders>
            <w:shd w:val="clear" w:color="000000" w:fill="FFFFFF"/>
            <w:noWrap/>
            <w:vAlign w:val="bottom"/>
            <w:hideMark/>
          </w:tcPr>
          <w:p w14:paraId="3771A890"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(0.014)</w:t>
            </w:r>
          </w:p>
        </w:tc>
        <w:tc>
          <w:tcPr>
            <w:tcW w:w="238" w:type="dxa"/>
            <w:tcBorders>
              <w:top w:val="nil"/>
              <w:left w:val="nil"/>
              <w:bottom w:val="nil"/>
              <w:right w:val="single" w:sz="4" w:space="0" w:color="auto"/>
            </w:tcBorders>
            <w:shd w:val="clear" w:color="000000" w:fill="FFFFFF"/>
            <w:noWrap/>
            <w:vAlign w:val="center"/>
            <w:hideMark/>
          </w:tcPr>
          <w:p w14:paraId="1E5C7D0C"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nil"/>
              <w:right w:val="nil"/>
            </w:tcBorders>
            <w:shd w:val="clear" w:color="000000" w:fill="FFFFFF"/>
            <w:noWrap/>
            <w:vAlign w:val="bottom"/>
            <w:hideMark/>
          </w:tcPr>
          <w:p w14:paraId="5D35FBF1"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(0.014)</w:t>
            </w:r>
          </w:p>
        </w:tc>
        <w:tc>
          <w:tcPr>
            <w:tcW w:w="280" w:type="dxa"/>
            <w:tcBorders>
              <w:top w:val="nil"/>
              <w:left w:val="nil"/>
              <w:bottom w:val="nil"/>
              <w:right w:val="nil"/>
            </w:tcBorders>
            <w:shd w:val="clear" w:color="000000" w:fill="FFFFFF"/>
            <w:noWrap/>
            <w:vAlign w:val="center"/>
            <w:hideMark/>
          </w:tcPr>
          <w:p w14:paraId="7B0F2A6F"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r>
      <w:tr w:rsidR="00B52AE5" w:rsidRPr="00B52AE5" w14:paraId="30F4099B" w14:textId="77777777" w:rsidTr="00B52AE5">
        <w:trPr>
          <w:trHeight w:val="320"/>
        </w:trPr>
        <w:tc>
          <w:tcPr>
            <w:tcW w:w="5517" w:type="dxa"/>
            <w:vMerge w:val="restart"/>
            <w:tcBorders>
              <w:top w:val="nil"/>
              <w:left w:val="nil"/>
              <w:bottom w:val="nil"/>
              <w:right w:val="single" w:sz="4" w:space="0" w:color="auto"/>
            </w:tcBorders>
            <w:shd w:val="clear" w:color="000000" w:fill="FFFFFF"/>
            <w:vAlign w:val="center"/>
            <w:hideMark/>
          </w:tcPr>
          <w:p w14:paraId="7F87DB7B"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Not coresident in 1974 x I(Year ≥ 1974)</w:t>
            </w:r>
          </w:p>
        </w:tc>
        <w:tc>
          <w:tcPr>
            <w:tcW w:w="1196" w:type="dxa"/>
            <w:tcBorders>
              <w:top w:val="nil"/>
              <w:left w:val="nil"/>
              <w:bottom w:val="nil"/>
              <w:right w:val="nil"/>
            </w:tcBorders>
            <w:shd w:val="clear" w:color="000000" w:fill="FFFFFF"/>
            <w:noWrap/>
            <w:vAlign w:val="bottom"/>
            <w:hideMark/>
          </w:tcPr>
          <w:p w14:paraId="19FC0681" w14:textId="77777777" w:rsidR="00B52AE5" w:rsidRPr="00B52AE5" w:rsidRDefault="00B52AE5" w:rsidP="00B52AE5">
            <w:pPr>
              <w:spacing w:after="0" w:line="240" w:lineRule="auto"/>
              <w:jc w:val="center"/>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 xml:space="preserve">                 -</w:t>
            </w:r>
          </w:p>
        </w:tc>
        <w:tc>
          <w:tcPr>
            <w:tcW w:w="238" w:type="dxa"/>
            <w:tcBorders>
              <w:top w:val="nil"/>
              <w:left w:val="nil"/>
              <w:bottom w:val="nil"/>
              <w:right w:val="single" w:sz="4" w:space="0" w:color="auto"/>
            </w:tcBorders>
            <w:shd w:val="clear" w:color="000000" w:fill="FFFFFF"/>
            <w:noWrap/>
            <w:vAlign w:val="center"/>
            <w:hideMark/>
          </w:tcPr>
          <w:p w14:paraId="74925069"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nil"/>
              <w:right w:val="nil"/>
            </w:tcBorders>
            <w:shd w:val="clear" w:color="000000" w:fill="FFFFFF"/>
            <w:noWrap/>
            <w:vAlign w:val="bottom"/>
            <w:hideMark/>
          </w:tcPr>
          <w:p w14:paraId="2C23CC46"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0.016</w:t>
            </w:r>
          </w:p>
        </w:tc>
        <w:tc>
          <w:tcPr>
            <w:tcW w:w="280" w:type="dxa"/>
            <w:tcBorders>
              <w:top w:val="nil"/>
              <w:left w:val="nil"/>
              <w:bottom w:val="nil"/>
              <w:right w:val="nil"/>
            </w:tcBorders>
            <w:shd w:val="clear" w:color="000000" w:fill="FFFFFF"/>
            <w:noWrap/>
            <w:vAlign w:val="center"/>
            <w:hideMark/>
          </w:tcPr>
          <w:p w14:paraId="74606448"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r>
      <w:tr w:rsidR="00B52AE5" w:rsidRPr="00B52AE5" w14:paraId="45795A42" w14:textId="77777777" w:rsidTr="00B52AE5">
        <w:trPr>
          <w:trHeight w:val="320"/>
        </w:trPr>
        <w:tc>
          <w:tcPr>
            <w:tcW w:w="5517" w:type="dxa"/>
            <w:vMerge/>
            <w:tcBorders>
              <w:top w:val="nil"/>
              <w:left w:val="nil"/>
              <w:bottom w:val="nil"/>
              <w:right w:val="single" w:sz="4" w:space="0" w:color="auto"/>
            </w:tcBorders>
            <w:vAlign w:val="center"/>
            <w:hideMark/>
          </w:tcPr>
          <w:p w14:paraId="1D214512" w14:textId="77777777" w:rsidR="00B52AE5" w:rsidRPr="00B52AE5" w:rsidRDefault="00B52AE5" w:rsidP="00B52AE5">
            <w:pPr>
              <w:spacing w:after="0" w:line="240" w:lineRule="auto"/>
              <w:rPr>
                <w:rFonts w:ascii="Times New Roman" w:eastAsia="Times New Roman" w:hAnsi="Times New Roman" w:cs="Times New Roman"/>
                <w:sz w:val="24"/>
                <w:szCs w:val="24"/>
              </w:rPr>
            </w:pPr>
          </w:p>
        </w:tc>
        <w:tc>
          <w:tcPr>
            <w:tcW w:w="1196" w:type="dxa"/>
            <w:tcBorders>
              <w:top w:val="nil"/>
              <w:left w:val="nil"/>
              <w:bottom w:val="nil"/>
              <w:right w:val="nil"/>
            </w:tcBorders>
            <w:shd w:val="clear" w:color="000000" w:fill="FFFFFF"/>
            <w:noWrap/>
            <w:vAlign w:val="bottom"/>
            <w:hideMark/>
          </w:tcPr>
          <w:p w14:paraId="20637B23"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 </w:t>
            </w:r>
          </w:p>
        </w:tc>
        <w:tc>
          <w:tcPr>
            <w:tcW w:w="238" w:type="dxa"/>
            <w:tcBorders>
              <w:top w:val="nil"/>
              <w:left w:val="nil"/>
              <w:bottom w:val="nil"/>
              <w:right w:val="single" w:sz="4" w:space="0" w:color="auto"/>
            </w:tcBorders>
            <w:shd w:val="clear" w:color="000000" w:fill="FFFFFF"/>
            <w:noWrap/>
            <w:vAlign w:val="center"/>
            <w:hideMark/>
          </w:tcPr>
          <w:p w14:paraId="2377BF04"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nil"/>
              <w:right w:val="nil"/>
            </w:tcBorders>
            <w:shd w:val="clear" w:color="000000" w:fill="FFFFFF"/>
            <w:noWrap/>
            <w:vAlign w:val="bottom"/>
            <w:hideMark/>
          </w:tcPr>
          <w:p w14:paraId="43E7B300"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(0.006)</w:t>
            </w:r>
          </w:p>
        </w:tc>
        <w:tc>
          <w:tcPr>
            <w:tcW w:w="280" w:type="dxa"/>
            <w:tcBorders>
              <w:top w:val="nil"/>
              <w:left w:val="nil"/>
              <w:bottom w:val="nil"/>
              <w:right w:val="nil"/>
            </w:tcBorders>
            <w:shd w:val="clear" w:color="000000" w:fill="FFFFFF"/>
            <w:noWrap/>
            <w:vAlign w:val="center"/>
            <w:hideMark/>
          </w:tcPr>
          <w:p w14:paraId="2ACAE9D5"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r>
      <w:tr w:rsidR="00B52AE5" w:rsidRPr="00B52AE5" w14:paraId="01D5C68F" w14:textId="77777777" w:rsidTr="00B52AE5">
        <w:trPr>
          <w:trHeight w:val="320"/>
        </w:trPr>
        <w:tc>
          <w:tcPr>
            <w:tcW w:w="5517" w:type="dxa"/>
            <w:vMerge w:val="restart"/>
            <w:tcBorders>
              <w:top w:val="nil"/>
              <w:left w:val="nil"/>
              <w:bottom w:val="single" w:sz="4" w:space="0" w:color="000000"/>
              <w:right w:val="single" w:sz="4" w:space="0" w:color="auto"/>
            </w:tcBorders>
            <w:shd w:val="clear" w:color="000000" w:fill="FFFFFF"/>
            <w:vAlign w:val="center"/>
            <w:hideMark/>
          </w:tcPr>
          <w:p w14:paraId="5B887390"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Not coresident in 1974 x I(Year ≥ 1974)  × Originally Female College</w:t>
            </w:r>
          </w:p>
        </w:tc>
        <w:tc>
          <w:tcPr>
            <w:tcW w:w="1196" w:type="dxa"/>
            <w:tcBorders>
              <w:top w:val="nil"/>
              <w:left w:val="nil"/>
              <w:bottom w:val="nil"/>
              <w:right w:val="nil"/>
            </w:tcBorders>
            <w:shd w:val="clear" w:color="000000" w:fill="FFFFFF"/>
            <w:noWrap/>
            <w:vAlign w:val="bottom"/>
            <w:hideMark/>
          </w:tcPr>
          <w:p w14:paraId="1CC63022" w14:textId="77777777" w:rsidR="00B52AE5" w:rsidRPr="00B52AE5" w:rsidRDefault="00B52AE5" w:rsidP="00B52AE5">
            <w:pPr>
              <w:spacing w:after="0" w:line="240" w:lineRule="auto"/>
              <w:jc w:val="center"/>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 xml:space="preserve">                 -</w:t>
            </w:r>
          </w:p>
        </w:tc>
        <w:tc>
          <w:tcPr>
            <w:tcW w:w="238" w:type="dxa"/>
            <w:tcBorders>
              <w:top w:val="nil"/>
              <w:left w:val="nil"/>
              <w:bottom w:val="nil"/>
              <w:right w:val="single" w:sz="4" w:space="0" w:color="auto"/>
            </w:tcBorders>
            <w:shd w:val="clear" w:color="000000" w:fill="FFFFFF"/>
            <w:noWrap/>
            <w:vAlign w:val="center"/>
            <w:hideMark/>
          </w:tcPr>
          <w:p w14:paraId="7A315380"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nil"/>
              <w:right w:val="nil"/>
            </w:tcBorders>
            <w:shd w:val="clear" w:color="000000" w:fill="FFFFFF"/>
            <w:noWrap/>
            <w:vAlign w:val="bottom"/>
            <w:hideMark/>
          </w:tcPr>
          <w:p w14:paraId="515D5CD2"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-0.084</w:t>
            </w:r>
          </w:p>
        </w:tc>
        <w:tc>
          <w:tcPr>
            <w:tcW w:w="280" w:type="dxa"/>
            <w:tcBorders>
              <w:top w:val="nil"/>
              <w:left w:val="nil"/>
              <w:bottom w:val="nil"/>
              <w:right w:val="nil"/>
            </w:tcBorders>
            <w:shd w:val="clear" w:color="000000" w:fill="FFFFFF"/>
            <w:noWrap/>
            <w:vAlign w:val="center"/>
            <w:hideMark/>
          </w:tcPr>
          <w:p w14:paraId="05BEBFEE"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w:t>
            </w:r>
          </w:p>
        </w:tc>
      </w:tr>
      <w:tr w:rsidR="00B52AE5" w:rsidRPr="00B52AE5" w14:paraId="063634E0" w14:textId="77777777" w:rsidTr="00B52AE5">
        <w:trPr>
          <w:trHeight w:val="320"/>
        </w:trPr>
        <w:tc>
          <w:tcPr>
            <w:tcW w:w="5517" w:type="dxa"/>
            <w:vMerge/>
            <w:tcBorders>
              <w:top w:val="nil"/>
              <w:left w:val="nil"/>
              <w:bottom w:val="single" w:sz="4" w:space="0" w:color="000000"/>
              <w:right w:val="single" w:sz="4" w:space="0" w:color="auto"/>
            </w:tcBorders>
            <w:vAlign w:val="center"/>
            <w:hideMark/>
          </w:tcPr>
          <w:p w14:paraId="012F1F2A" w14:textId="77777777" w:rsidR="00B52AE5" w:rsidRPr="00B52AE5" w:rsidRDefault="00B52AE5" w:rsidP="00B52AE5">
            <w:pPr>
              <w:spacing w:after="0" w:line="240" w:lineRule="auto"/>
              <w:rPr>
                <w:rFonts w:ascii="Times New Roman" w:eastAsia="Times New Roman" w:hAnsi="Times New Roman" w:cs="Times New Roman"/>
                <w:sz w:val="24"/>
                <w:szCs w:val="24"/>
              </w:rPr>
            </w:pPr>
          </w:p>
        </w:tc>
        <w:tc>
          <w:tcPr>
            <w:tcW w:w="1196" w:type="dxa"/>
            <w:tcBorders>
              <w:top w:val="nil"/>
              <w:left w:val="nil"/>
              <w:bottom w:val="single" w:sz="4" w:space="0" w:color="auto"/>
              <w:right w:val="nil"/>
            </w:tcBorders>
            <w:shd w:val="clear" w:color="000000" w:fill="FFFFFF"/>
            <w:noWrap/>
            <w:vAlign w:val="bottom"/>
            <w:hideMark/>
          </w:tcPr>
          <w:p w14:paraId="07CB3F1E"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 </w:t>
            </w:r>
          </w:p>
        </w:tc>
        <w:tc>
          <w:tcPr>
            <w:tcW w:w="238" w:type="dxa"/>
            <w:tcBorders>
              <w:top w:val="nil"/>
              <w:left w:val="nil"/>
              <w:bottom w:val="single" w:sz="4" w:space="0" w:color="auto"/>
              <w:right w:val="single" w:sz="4" w:space="0" w:color="auto"/>
            </w:tcBorders>
            <w:shd w:val="clear" w:color="000000" w:fill="FFFFFF"/>
            <w:noWrap/>
            <w:vAlign w:val="center"/>
            <w:hideMark/>
          </w:tcPr>
          <w:p w14:paraId="1B41167F"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c>
          <w:tcPr>
            <w:tcW w:w="909" w:type="dxa"/>
            <w:tcBorders>
              <w:top w:val="nil"/>
              <w:left w:val="nil"/>
              <w:bottom w:val="single" w:sz="4" w:space="0" w:color="auto"/>
              <w:right w:val="nil"/>
            </w:tcBorders>
            <w:shd w:val="clear" w:color="000000" w:fill="FFFFFF"/>
            <w:noWrap/>
            <w:vAlign w:val="bottom"/>
            <w:hideMark/>
          </w:tcPr>
          <w:p w14:paraId="2B08BA1F"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(0.022)</w:t>
            </w:r>
          </w:p>
        </w:tc>
        <w:tc>
          <w:tcPr>
            <w:tcW w:w="280" w:type="dxa"/>
            <w:tcBorders>
              <w:top w:val="nil"/>
              <w:left w:val="nil"/>
              <w:bottom w:val="single" w:sz="4" w:space="0" w:color="auto"/>
              <w:right w:val="nil"/>
            </w:tcBorders>
            <w:shd w:val="clear" w:color="000000" w:fill="FFFFFF"/>
            <w:noWrap/>
            <w:vAlign w:val="center"/>
            <w:hideMark/>
          </w:tcPr>
          <w:p w14:paraId="08D8F4DB" w14:textId="77777777" w:rsidR="00B52AE5" w:rsidRPr="00B52AE5" w:rsidRDefault="00B52AE5" w:rsidP="00B52AE5">
            <w:pPr>
              <w:spacing w:after="0" w:line="240" w:lineRule="auto"/>
              <w:rPr>
                <w:rFonts w:ascii="Times New Roman" w:eastAsia="Times New Roman" w:hAnsi="Times New Roman" w:cs="Times New Roman"/>
                <w:sz w:val="20"/>
                <w:szCs w:val="20"/>
              </w:rPr>
            </w:pPr>
            <w:r w:rsidRPr="00B52AE5">
              <w:rPr>
                <w:rFonts w:ascii="Times New Roman" w:eastAsia="Times New Roman" w:hAnsi="Times New Roman" w:cs="Times New Roman"/>
                <w:sz w:val="20"/>
                <w:szCs w:val="20"/>
                <w:vertAlign w:val="superscript"/>
              </w:rPr>
              <w:t> </w:t>
            </w:r>
          </w:p>
        </w:tc>
      </w:tr>
      <w:tr w:rsidR="00B52AE5" w:rsidRPr="00B52AE5" w14:paraId="11F35A5A" w14:textId="77777777" w:rsidTr="00B52AE5">
        <w:trPr>
          <w:trHeight w:val="340"/>
        </w:trPr>
        <w:tc>
          <w:tcPr>
            <w:tcW w:w="5517" w:type="dxa"/>
            <w:tcBorders>
              <w:top w:val="nil"/>
              <w:left w:val="nil"/>
              <w:bottom w:val="double" w:sz="6" w:space="0" w:color="auto"/>
              <w:right w:val="single" w:sz="4" w:space="0" w:color="auto"/>
            </w:tcBorders>
            <w:shd w:val="clear" w:color="auto" w:fill="auto"/>
            <w:noWrap/>
            <w:vAlign w:val="center"/>
            <w:hideMark/>
          </w:tcPr>
          <w:p w14:paraId="68973B81" w14:textId="77777777" w:rsidR="00B52AE5" w:rsidRPr="00B52AE5" w:rsidRDefault="00B52AE5" w:rsidP="00B52AE5">
            <w:pPr>
              <w:spacing w:after="0" w:line="240" w:lineRule="auto"/>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R-squared</w:t>
            </w:r>
          </w:p>
        </w:tc>
        <w:tc>
          <w:tcPr>
            <w:tcW w:w="1434" w:type="dxa"/>
            <w:gridSpan w:val="2"/>
            <w:tcBorders>
              <w:top w:val="single" w:sz="4" w:space="0" w:color="auto"/>
              <w:left w:val="nil"/>
              <w:bottom w:val="double" w:sz="6" w:space="0" w:color="auto"/>
              <w:right w:val="single" w:sz="4" w:space="0" w:color="000000"/>
            </w:tcBorders>
            <w:shd w:val="clear" w:color="000000" w:fill="FFFFFF"/>
            <w:noWrap/>
            <w:vAlign w:val="bottom"/>
            <w:hideMark/>
          </w:tcPr>
          <w:p w14:paraId="0CD2C4AB" w14:textId="77777777" w:rsidR="00B52AE5" w:rsidRPr="00B52AE5" w:rsidRDefault="00B52AE5" w:rsidP="00B52AE5">
            <w:pPr>
              <w:spacing w:after="0" w:line="240" w:lineRule="auto"/>
              <w:jc w:val="right"/>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 xml:space="preserve">0.9303 </w:t>
            </w:r>
          </w:p>
        </w:tc>
        <w:tc>
          <w:tcPr>
            <w:tcW w:w="1189" w:type="dxa"/>
            <w:gridSpan w:val="2"/>
            <w:tcBorders>
              <w:top w:val="single" w:sz="4" w:space="0" w:color="auto"/>
              <w:left w:val="nil"/>
              <w:bottom w:val="double" w:sz="6" w:space="0" w:color="auto"/>
              <w:right w:val="nil"/>
            </w:tcBorders>
            <w:shd w:val="clear" w:color="000000" w:fill="FFFFFF"/>
            <w:noWrap/>
            <w:vAlign w:val="bottom"/>
            <w:hideMark/>
          </w:tcPr>
          <w:p w14:paraId="0CCF90D1" w14:textId="77777777" w:rsidR="00B52AE5" w:rsidRPr="00B52AE5" w:rsidRDefault="00B52AE5" w:rsidP="00B52AE5">
            <w:pPr>
              <w:spacing w:after="0" w:line="240" w:lineRule="auto"/>
              <w:jc w:val="center"/>
              <w:rPr>
                <w:rFonts w:ascii="Times New Roman" w:eastAsia="Times New Roman" w:hAnsi="Times New Roman" w:cs="Times New Roman"/>
                <w:sz w:val="24"/>
                <w:szCs w:val="24"/>
              </w:rPr>
            </w:pPr>
            <w:r w:rsidRPr="00B52AE5">
              <w:rPr>
                <w:rFonts w:ascii="Times New Roman" w:eastAsia="Times New Roman" w:hAnsi="Times New Roman" w:cs="Times New Roman"/>
                <w:sz w:val="24"/>
                <w:szCs w:val="24"/>
              </w:rPr>
              <w:t>0.9313</w:t>
            </w:r>
          </w:p>
        </w:tc>
      </w:tr>
      <w:tr w:rsidR="00B52AE5" w:rsidRPr="00B52AE5" w14:paraId="3CEFF287" w14:textId="77777777" w:rsidTr="00B52AE5">
        <w:trPr>
          <w:trHeight w:val="320"/>
        </w:trPr>
        <w:tc>
          <w:tcPr>
            <w:tcW w:w="8140" w:type="dxa"/>
            <w:gridSpan w:val="5"/>
            <w:vMerge w:val="restart"/>
            <w:tcBorders>
              <w:top w:val="double" w:sz="6" w:space="0" w:color="auto"/>
              <w:left w:val="nil"/>
              <w:bottom w:val="nil"/>
              <w:right w:val="nil"/>
            </w:tcBorders>
            <w:shd w:val="clear" w:color="auto" w:fill="auto"/>
            <w:vAlign w:val="bottom"/>
            <w:hideMark/>
          </w:tcPr>
          <w:p w14:paraId="3FDDD98E" w14:textId="77777777" w:rsidR="00B52AE5" w:rsidRPr="00B52AE5" w:rsidRDefault="00B52AE5" w:rsidP="00B52AE5">
            <w:pPr>
              <w:spacing w:after="0" w:line="240" w:lineRule="auto"/>
              <w:rPr>
                <w:rFonts w:ascii="Calibri" w:eastAsia="Times New Roman" w:hAnsi="Calibri" w:cs="Times New Roman"/>
                <w:color w:val="000000"/>
              </w:rPr>
            </w:pPr>
            <w:r w:rsidRPr="00B52AE5">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r w:rsidR="00B52AE5" w:rsidRPr="00B52AE5" w14:paraId="6D30FF24" w14:textId="77777777" w:rsidTr="00B52AE5">
        <w:trPr>
          <w:trHeight w:val="800"/>
        </w:trPr>
        <w:tc>
          <w:tcPr>
            <w:tcW w:w="8140" w:type="dxa"/>
            <w:gridSpan w:val="5"/>
            <w:vMerge/>
            <w:tcBorders>
              <w:top w:val="double" w:sz="6" w:space="0" w:color="auto"/>
              <w:left w:val="nil"/>
              <w:bottom w:val="nil"/>
              <w:right w:val="nil"/>
            </w:tcBorders>
            <w:vAlign w:val="center"/>
            <w:hideMark/>
          </w:tcPr>
          <w:p w14:paraId="5C380BFE" w14:textId="77777777" w:rsidR="00B52AE5" w:rsidRPr="00B52AE5" w:rsidRDefault="00B52AE5" w:rsidP="00B52AE5">
            <w:pPr>
              <w:spacing w:after="0" w:line="240" w:lineRule="auto"/>
              <w:rPr>
                <w:rFonts w:ascii="Calibri" w:eastAsia="Times New Roman" w:hAnsi="Calibri" w:cs="Times New Roman"/>
                <w:color w:val="000000"/>
              </w:rPr>
            </w:pPr>
          </w:p>
        </w:tc>
      </w:tr>
    </w:tbl>
    <w:p w14:paraId="3D70C4E3" w14:textId="77777777" w:rsidR="00F425A6" w:rsidRDefault="00F425A6" w:rsidP="005F3DE1">
      <w:pPr>
        <w:spacing w:after="0" w:line="240" w:lineRule="auto"/>
        <w:jc w:val="center"/>
      </w:pPr>
    </w:p>
    <w:p w14:paraId="2A3DFCBA" w14:textId="77777777" w:rsidR="00F425A6" w:rsidRDefault="00F425A6" w:rsidP="005F3DE1">
      <w:pPr>
        <w:spacing w:after="0" w:line="240" w:lineRule="auto"/>
        <w:jc w:val="center"/>
      </w:pPr>
    </w:p>
    <w:p w14:paraId="27153141" w14:textId="77777777" w:rsidR="00F425A6" w:rsidRDefault="00F425A6" w:rsidP="005F3DE1">
      <w:pPr>
        <w:spacing w:after="0" w:line="240" w:lineRule="auto"/>
        <w:jc w:val="center"/>
      </w:pPr>
    </w:p>
    <w:p w14:paraId="730F619A" w14:textId="77777777" w:rsidR="00F425A6" w:rsidRDefault="00F425A6" w:rsidP="005F3DE1">
      <w:pPr>
        <w:spacing w:after="0" w:line="240" w:lineRule="auto"/>
        <w:jc w:val="center"/>
      </w:pPr>
    </w:p>
    <w:p w14:paraId="30204CBA" w14:textId="77777777" w:rsidR="00F425A6" w:rsidRDefault="00F425A6" w:rsidP="005F3DE1">
      <w:pPr>
        <w:spacing w:after="0" w:line="240" w:lineRule="auto"/>
        <w:jc w:val="center"/>
      </w:pPr>
    </w:p>
    <w:p w14:paraId="622C581B" w14:textId="77777777" w:rsidR="00F425A6" w:rsidRDefault="00F425A6" w:rsidP="005F3DE1">
      <w:pPr>
        <w:spacing w:after="0" w:line="240" w:lineRule="auto"/>
        <w:jc w:val="center"/>
      </w:pPr>
    </w:p>
    <w:p w14:paraId="5A3CEA29" w14:textId="77777777" w:rsidR="00F425A6" w:rsidRDefault="00F425A6" w:rsidP="005F3DE1">
      <w:pPr>
        <w:spacing w:after="0" w:line="240" w:lineRule="auto"/>
        <w:jc w:val="center"/>
      </w:pPr>
    </w:p>
    <w:p w14:paraId="5C46B0BE" w14:textId="68058585" w:rsidR="00526A59" w:rsidRDefault="00526A59">
      <w:r>
        <w:br w:type="page"/>
      </w:r>
    </w:p>
    <w:tbl>
      <w:tblPr>
        <w:tblW w:w="8460" w:type="dxa"/>
        <w:tblLook w:val="04A0" w:firstRow="1" w:lastRow="0" w:firstColumn="1" w:lastColumn="0" w:noHBand="0" w:noVBand="1"/>
      </w:tblPr>
      <w:tblGrid>
        <w:gridCol w:w="5734"/>
        <w:gridCol w:w="1234"/>
        <w:gridCol w:w="411"/>
        <w:gridCol w:w="953"/>
        <w:gridCol w:w="411"/>
      </w:tblGrid>
      <w:tr w:rsidR="00526A59" w:rsidRPr="00526A59" w14:paraId="0FF21CC5" w14:textId="77777777" w:rsidTr="00526A59">
        <w:trPr>
          <w:trHeight w:val="320"/>
        </w:trPr>
        <w:tc>
          <w:tcPr>
            <w:tcW w:w="8460" w:type="dxa"/>
            <w:gridSpan w:val="5"/>
            <w:tcBorders>
              <w:top w:val="nil"/>
              <w:left w:val="nil"/>
              <w:bottom w:val="nil"/>
              <w:right w:val="nil"/>
            </w:tcBorders>
            <w:shd w:val="clear" w:color="000000" w:fill="FFFFFF"/>
            <w:vAlign w:val="bottom"/>
            <w:hideMark/>
          </w:tcPr>
          <w:p w14:paraId="1EF74A82" w14:textId="5056EC80" w:rsidR="00526A59" w:rsidRPr="00526A59" w:rsidRDefault="00526A59" w:rsidP="00AF6572">
            <w:pPr>
              <w:spacing w:after="0" w:line="240" w:lineRule="auto"/>
              <w:jc w:val="center"/>
              <w:rPr>
                <w:rFonts w:ascii="Times New Roman" w:eastAsia="Times New Roman" w:hAnsi="Times New Roman" w:cs="Times New Roman"/>
                <w:b/>
                <w:bCs/>
                <w:sz w:val="24"/>
                <w:szCs w:val="24"/>
              </w:rPr>
            </w:pPr>
            <w:r w:rsidRPr="00526A59">
              <w:rPr>
                <w:rFonts w:ascii="Times New Roman" w:eastAsia="Times New Roman" w:hAnsi="Times New Roman" w:cs="Times New Roman"/>
                <w:b/>
                <w:bCs/>
                <w:sz w:val="24"/>
                <w:szCs w:val="24"/>
              </w:rPr>
              <w:lastRenderedPageBreak/>
              <w:t xml:space="preserve">Table </w:t>
            </w:r>
            <w:r w:rsidR="00AF6572">
              <w:rPr>
                <w:rFonts w:ascii="Times New Roman" w:eastAsia="Times New Roman" w:hAnsi="Times New Roman" w:cs="Times New Roman"/>
                <w:b/>
                <w:bCs/>
                <w:sz w:val="24"/>
                <w:szCs w:val="24"/>
              </w:rPr>
              <w:t>4</w:t>
            </w:r>
          </w:p>
        </w:tc>
      </w:tr>
      <w:tr w:rsidR="00526A59" w:rsidRPr="00526A59" w14:paraId="65CD2699" w14:textId="77777777" w:rsidTr="00526A59">
        <w:trPr>
          <w:trHeight w:val="320"/>
        </w:trPr>
        <w:tc>
          <w:tcPr>
            <w:tcW w:w="8460" w:type="dxa"/>
            <w:gridSpan w:val="5"/>
            <w:tcBorders>
              <w:top w:val="nil"/>
              <w:left w:val="nil"/>
              <w:bottom w:val="single" w:sz="4" w:space="0" w:color="auto"/>
              <w:right w:val="nil"/>
            </w:tcBorders>
            <w:shd w:val="clear" w:color="000000" w:fill="FFFFFF"/>
            <w:vAlign w:val="bottom"/>
            <w:hideMark/>
          </w:tcPr>
          <w:p w14:paraId="5646663D" w14:textId="77777777" w:rsidR="00526A59" w:rsidRPr="00526A59" w:rsidRDefault="00526A59" w:rsidP="00526A59">
            <w:pPr>
              <w:spacing w:after="0" w:line="240" w:lineRule="auto"/>
              <w:jc w:val="center"/>
              <w:rPr>
                <w:rFonts w:ascii="Times New Roman" w:eastAsia="Times New Roman" w:hAnsi="Times New Roman" w:cs="Times New Roman"/>
                <w:b/>
                <w:bCs/>
                <w:sz w:val="24"/>
                <w:szCs w:val="24"/>
              </w:rPr>
            </w:pPr>
            <w:r w:rsidRPr="00526A59">
              <w:rPr>
                <w:rFonts w:ascii="Times New Roman" w:eastAsia="Times New Roman" w:hAnsi="Times New Roman" w:cs="Times New Roman"/>
                <w:b/>
                <w:bCs/>
                <w:sz w:val="24"/>
                <w:szCs w:val="24"/>
              </w:rPr>
              <w:t>Linear Regression Estimates of the Determinates of Percent Women Faculty</w:t>
            </w:r>
          </w:p>
        </w:tc>
      </w:tr>
      <w:tr w:rsidR="00526A59" w:rsidRPr="00526A59" w14:paraId="6D99C2B0" w14:textId="77777777" w:rsidTr="00526A59">
        <w:trPr>
          <w:trHeight w:val="340"/>
        </w:trPr>
        <w:tc>
          <w:tcPr>
            <w:tcW w:w="5734" w:type="dxa"/>
            <w:tcBorders>
              <w:top w:val="nil"/>
              <w:left w:val="nil"/>
              <w:bottom w:val="double" w:sz="6" w:space="0" w:color="auto"/>
              <w:right w:val="single" w:sz="4" w:space="0" w:color="auto"/>
            </w:tcBorders>
            <w:shd w:val="clear" w:color="000000" w:fill="FFFFFF"/>
            <w:noWrap/>
            <w:vAlign w:val="bottom"/>
            <w:hideMark/>
          </w:tcPr>
          <w:p w14:paraId="0A4E9FC4" w14:textId="77777777" w:rsidR="00526A59" w:rsidRPr="00526A59" w:rsidRDefault="00526A59" w:rsidP="00526A59">
            <w:pPr>
              <w:spacing w:after="0" w:line="240" w:lineRule="auto"/>
              <w:rPr>
                <w:rFonts w:ascii="Times New Roman" w:eastAsia="Times New Roman" w:hAnsi="Times New Roman" w:cs="Times New Roman"/>
                <w:b/>
                <w:bCs/>
                <w:sz w:val="24"/>
                <w:szCs w:val="24"/>
              </w:rPr>
            </w:pPr>
            <w:r w:rsidRPr="00526A59">
              <w:rPr>
                <w:rFonts w:ascii="Times New Roman" w:eastAsia="Times New Roman" w:hAnsi="Times New Roman" w:cs="Times New Roman"/>
                <w:b/>
                <w:bCs/>
                <w:sz w:val="24"/>
                <w:szCs w:val="24"/>
              </w:rPr>
              <w:t xml:space="preserve">Variable </w:t>
            </w:r>
          </w:p>
        </w:tc>
        <w:tc>
          <w:tcPr>
            <w:tcW w:w="1479" w:type="dxa"/>
            <w:gridSpan w:val="2"/>
            <w:tcBorders>
              <w:top w:val="single" w:sz="4" w:space="0" w:color="auto"/>
              <w:left w:val="nil"/>
              <w:bottom w:val="double" w:sz="6" w:space="0" w:color="auto"/>
              <w:right w:val="single" w:sz="4" w:space="0" w:color="000000"/>
            </w:tcBorders>
            <w:shd w:val="clear" w:color="000000" w:fill="FFFFFF"/>
            <w:vAlign w:val="bottom"/>
            <w:hideMark/>
          </w:tcPr>
          <w:p w14:paraId="0553D010" w14:textId="77777777" w:rsidR="00526A59" w:rsidRPr="00526A59" w:rsidRDefault="00526A59" w:rsidP="00526A59">
            <w:pPr>
              <w:spacing w:after="0" w:line="240" w:lineRule="auto"/>
              <w:jc w:val="center"/>
              <w:rPr>
                <w:rFonts w:ascii="Times New Roman" w:eastAsia="Times New Roman" w:hAnsi="Times New Roman" w:cs="Times New Roman"/>
                <w:b/>
                <w:bCs/>
                <w:color w:val="000000"/>
                <w:sz w:val="24"/>
                <w:szCs w:val="24"/>
              </w:rPr>
            </w:pPr>
            <w:r w:rsidRPr="00526A59">
              <w:rPr>
                <w:rFonts w:ascii="Times New Roman" w:eastAsia="Times New Roman" w:hAnsi="Times New Roman" w:cs="Times New Roman"/>
                <w:b/>
                <w:bCs/>
                <w:color w:val="000000"/>
                <w:sz w:val="24"/>
                <w:szCs w:val="24"/>
              </w:rPr>
              <w:t>(1)</w:t>
            </w:r>
          </w:p>
        </w:tc>
        <w:tc>
          <w:tcPr>
            <w:tcW w:w="1247" w:type="dxa"/>
            <w:gridSpan w:val="2"/>
            <w:tcBorders>
              <w:top w:val="single" w:sz="4" w:space="0" w:color="auto"/>
              <w:left w:val="nil"/>
              <w:bottom w:val="double" w:sz="6" w:space="0" w:color="auto"/>
              <w:right w:val="nil"/>
            </w:tcBorders>
            <w:shd w:val="clear" w:color="000000" w:fill="FFFFFF"/>
            <w:vAlign w:val="bottom"/>
            <w:hideMark/>
          </w:tcPr>
          <w:p w14:paraId="7B61AF94" w14:textId="77777777" w:rsidR="00526A59" w:rsidRPr="00526A59" w:rsidRDefault="00526A59" w:rsidP="00526A59">
            <w:pPr>
              <w:spacing w:after="0" w:line="240" w:lineRule="auto"/>
              <w:jc w:val="center"/>
              <w:rPr>
                <w:rFonts w:ascii="Times New Roman" w:eastAsia="Times New Roman" w:hAnsi="Times New Roman" w:cs="Times New Roman"/>
                <w:b/>
                <w:bCs/>
                <w:color w:val="000000"/>
                <w:sz w:val="24"/>
                <w:szCs w:val="24"/>
              </w:rPr>
            </w:pPr>
            <w:r w:rsidRPr="00526A59">
              <w:rPr>
                <w:rFonts w:ascii="Times New Roman" w:eastAsia="Times New Roman" w:hAnsi="Times New Roman" w:cs="Times New Roman"/>
                <w:b/>
                <w:bCs/>
                <w:color w:val="000000"/>
                <w:sz w:val="24"/>
                <w:szCs w:val="24"/>
              </w:rPr>
              <w:t>(2)</w:t>
            </w:r>
          </w:p>
        </w:tc>
      </w:tr>
      <w:tr w:rsidR="00526A59" w:rsidRPr="00526A59" w14:paraId="53C5E112" w14:textId="77777777" w:rsidTr="00526A59">
        <w:trPr>
          <w:trHeight w:val="340"/>
        </w:trPr>
        <w:tc>
          <w:tcPr>
            <w:tcW w:w="5734" w:type="dxa"/>
            <w:vMerge w:val="restart"/>
            <w:tcBorders>
              <w:top w:val="nil"/>
              <w:left w:val="nil"/>
              <w:bottom w:val="nil"/>
              <w:right w:val="single" w:sz="4" w:space="0" w:color="auto"/>
            </w:tcBorders>
            <w:shd w:val="clear" w:color="000000" w:fill="FFFFFF"/>
            <w:vAlign w:val="center"/>
            <w:hideMark/>
          </w:tcPr>
          <w:p w14:paraId="3ECED8F1"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-2</w:t>
            </w:r>
          </w:p>
        </w:tc>
        <w:tc>
          <w:tcPr>
            <w:tcW w:w="1234" w:type="dxa"/>
            <w:tcBorders>
              <w:top w:val="nil"/>
              <w:left w:val="nil"/>
              <w:bottom w:val="nil"/>
              <w:right w:val="nil"/>
            </w:tcBorders>
            <w:shd w:val="clear" w:color="000000" w:fill="FFFFFF"/>
            <w:noWrap/>
            <w:vAlign w:val="bottom"/>
            <w:hideMark/>
          </w:tcPr>
          <w:p w14:paraId="20656AE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45" w:type="dxa"/>
            <w:tcBorders>
              <w:top w:val="nil"/>
              <w:left w:val="nil"/>
              <w:bottom w:val="nil"/>
              <w:right w:val="single" w:sz="4" w:space="0" w:color="auto"/>
            </w:tcBorders>
            <w:shd w:val="clear" w:color="000000" w:fill="FFFFFF"/>
            <w:noWrap/>
            <w:vAlign w:val="center"/>
            <w:hideMark/>
          </w:tcPr>
          <w:p w14:paraId="6DC2A8C2"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5FD104F3"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94" w:type="dxa"/>
            <w:tcBorders>
              <w:top w:val="nil"/>
              <w:left w:val="nil"/>
              <w:bottom w:val="nil"/>
              <w:right w:val="nil"/>
            </w:tcBorders>
            <w:shd w:val="clear" w:color="000000" w:fill="FFFFFF"/>
            <w:noWrap/>
            <w:vAlign w:val="center"/>
            <w:hideMark/>
          </w:tcPr>
          <w:p w14:paraId="70B7BC76"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r>
      <w:tr w:rsidR="00526A59" w:rsidRPr="00526A59" w14:paraId="17AA012C" w14:textId="77777777" w:rsidTr="00526A59">
        <w:trPr>
          <w:trHeight w:val="320"/>
        </w:trPr>
        <w:tc>
          <w:tcPr>
            <w:tcW w:w="5734" w:type="dxa"/>
            <w:vMerge/>
            <w:tcBorders>
              <w:top w:val="nil"/>
              <w:left w:val="nil"/>
              <w:bottom w:val="nil"/>
              <w:right w:val="single" w:sz="4" w:space="0" w:color="auto"/>
            </w:tcBorders>
            <w:vAlign w:val="center"/>
            <w:hideMark/>
          </w:tcPr>
          <w:p w14:paraId="69584016"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99F6FF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45" w:type="dxa"/>
            <w:tcBorders>
              <w:top w:val="nil"/>
              <w:left w:val="nil"/>
              <w:bottom w:val="nil"/>
              <w:right w:val="single" w:sz="4" w:space="0" w:color="auto"/>
            </w:tcBorders>
            <w:shd w:val="clear" w:color="000000" w:fill="FFFFFF"/>
            <w:noWrap/>
            <w:vAlign w:val="center"/>
            <w:hideMark/>
          </w:tcPr>
          <w:p w14:paraId="74967C9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4C36996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94" w:type="dxa"/>
            <w:tcBorders>
              <w:top w:val="nil"/>
              <w:left w:val="nil"/>
              <w:bottom w:val="nil"/>
              <w:right w:val="nil"/>
            </w:tcBorders>
            <w:shd w:val="clear" w:color="000000" w:fill="FFFFFF"/>
            <w:noWrap/>
            <w:vAlign w:val="center"/>
            <w:hideMark/>
          </w:tcPr>
          <w:p w14:paraId="65A8CC14"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5C4420E5"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6FFBA9A8"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-1</w:t>
            </w:r>
          </w:p>
        </w:tc>
        <w:tc>
          <w:tcPr>
            <w:tcW w:w="1234" w:type="dxa"/>
            <w:tcBorders>
              <w:top w:val="nil"/>
              <w:left w:val="nil"/>
              <w:bottom w:val="nil"/>
              <w:right w:val="nil"/>
            </w:tcBorders>
            <w:shd w:val="clear" w:color="000000" w:fill="FFFFFF"/>
            <w:noWrap/>
            <w:vAlign w:val="bottom"/>
            <w:hideMark/>
          </w:tcPr>
          <w:p w14:paraId="24A8867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-0.004</w:t>
            </w:r>
          </w:p>
        </w:tc>
        <w:tc>
          <w:tcPr>
            <w:tcW w:w="245" w:type="dxa"/>
            <w:tcBorders>
              <w:top w:val="nil"/>
              <w:left w:val="nil"/>
              <w:bottom w:val="nil"/>
              <w:right w:val="single" w:sz="4" w:space="0" w:color="auto"/>
            </w:tcBorders>
            <w:shd w:val="clear" w:color="000000" w:fill="FFFFFF"/>
            <w:noWrap/>
            <w:vAlign w:val="center"/>
            <w:hideMark/>
          </w:tcPr>
          <w:p w14:paraId="703B8DEC"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37C078E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-0.004</w:t>
            </w:r>
          </w:p>
        </w:tc>
        <w:tc>
          <w:tcPr>
            <w:tcW w:w="294" w:type="dxa"/>
            <w:tcBorders>
              <w:top w:val="nil"/>
              <w:left w:val="nil"/>
              <w:bottom w:val="nil"/>
              <w:right w:val="nil"/>
            </w:tcBorders>
            <w:shd w:val="clear" w:color="000000" w:fill="FFFFFF"/>
            <w:noWrap/>
            <w:vAlign w:val="center"/>
            <w:hideMark/>
          </w:tcPr>
          <w:p w14:paraId="6DEA9ADE"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r>
      <w:tr w:rsidR="00526A59" w:rsidRPr="00526A59" w14:paraId="045C1C18" w14:textId="77777777" w:rsidTr="00526A59">
        <w:trPr>
          <w:trHeight w:val="320"/>
        </w:trPr>
        <w:tc>
          <w:tcPr>
            <w:tcW w:w="5734" w:type="dxa"/>
            <w:vMerge/>
            <w:tcBorders>
              <w:top w:val="nil"/>
              <w:left w:val="nil"/>
              <w:bottom w:val="nil"/>
              <w:right w:val="single" w:sz="4" w:space="0" w:color="auto"/>
            </w:tcBorders>
            <w:vAlign w:val="center"/>
            <w:hideMark/>
          </w:tcPr>
          <w:p w14:paraId="3CAEE0E9"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BF71DD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45" w:type="dxa"/>
            <w:tcBorders>
              <w:top w:val="nil"/>
              <w:left w:val="nil"/>
              <w:bottom w:val="nil"/>
              <w:right w:val="single" w:sz="4" w:space="0" w:color="auto"/>
            </w:tcBorders>
            <w:shd w:val="clear" w:color="000000" w:fill="FFFFFF"/>
            <w:noWrap/>
            <w:vAlign w:val="center"/>
            <w:hideMark/>
          </w:tcPr>
          <w:p w14:paraId="723FA63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0ED8EDF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94" w:type="dxa"/>
            <w:tcBorders>
              <w:top w:val="nil"/>
              <w:left w:val="nil"/>
              <w:bottom w:val="nil"/>
              <w:right w:val="nil"/>
            </w:tcBorders>
            <w:shd w:val="clear" w:color="000000" w:fill="FFFFFF"/>
            <w:noWrap/>
            <w:vAlign w:val="center"/>
            <w:hideMark/>
          </w:tcPr>
          <w:p w14:paraId="332DEFFA"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196EC3E5"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5CAE8920"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0</w:t>
            </w:r>
          </w:p>
        </w:tc>
        <w:tc>
          <w:tcPr>
            <w:tcW w:w="1234" w:type="dxa"/>
            <w:tcBorders>
              <w:top w:val="nil"/>
              <w:left w:val="nil"/>
              <w:bottom w:val="nil"/>
              <w:right w:val="nil"/>
            </w:tcBorders>
            <w:shd w:val="clear" w:color="000000" w:fill="FFFFFF"/>
            <w:noWrap/>
            <w:vAlign w:val="bottom"/>
            <w:hideMark/>
          </w:tcPr>
          <w:p w14:paraId="2ECF8A9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0.021</w:t>
            </w:r>
          </w:p>
        </w:tc>
        <w:tc>
          <w:tcPr>
            <w:tcW w:w="245" w:type="dxa"/>
            <w:tcBorders>
              <w:top w:val="nil"/>
              <w:left w:val="nil"/>
              <w:bottom w:val="nil"/>
              <w:right w:val="single" w:sz="4" w:space="0" w:color="auto"/>
            </w:tcBorders>
            <w:shd w:val="clear" w:color="000000" w:fill="FFFFFF"/>
            <w:noWrap/>
            <w:vAlign w:val="center"/>
            <w:hideMark/>
          </w:tcPr>
          <w:p w14:paraId="6B05516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46117267"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0.021</w:t>
            </w:r>
          </w:p>
        </w:tc>
        <w:tc>
          <w:tcPr>
            <w:tcW w:w="294" w:type="dxa"/>
            <w:tcBorders>
              <w:top w:val="nil"/>
              <w:left w:val="nil"/>
              <w:bottom w:val="nil"/>
              <w:right w:val="nil"/>
            </w:tcBorders>
            <w:shd w:val="clear" w:color="000000" w:fill="FFFFFF"/>
            <w:noWrap/>
            <w:vAlign w:val="center"/>
            <w:hideMark/>
          </w:tcPr>
          <w:p w14:paraId="265EAF10"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r>
      <w:tr w:rsidR="00526A59" w:rsidRPr="00526A59" w14:paraId="00986C21" w14:textId="77777777" w:rsidTr="00526A59">
        <w:trPr>
          <w:trHeight w:val="320"/>
        </w:trPr>
        <w:tc>
          <w:tcPr>
            <w:tcW w:w="5734" w:type="dxa"/>
            <w:vMerge/>
            <w:tcBorders>
              <w:top w:val="nil"/>
              <w:left w:val="nil"/>
              <w:bottom w:val="nil"/>
              <w:right w:val="single" w:sz="4" w:space="0" w:color="auto"/>
            </w:tcBorders>
            <w:vAlign w:val="center"/>
            <w:hideMark/>
          </w:tcPr>
          <w:p w14:paraId="495DDBD1"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0C6C08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(0.014)</w:t>
            </w:r>
          </w:p>
        </w:tc>
        <w:tc>
          <w:tcPr>
            <w:tcW w:w="245" w:type="dxa"/>
            <w:tcBorders>
              <w:top w:val="nil"/>
              <w:left w:val="nil"/>
              <w:bottom w:val="nil"/>
              <w:right w:val="single" w:sz="4" w:space="0" w:color="auto"/>
            </w:tcBorders>
            <w:shd w:val="clear" w:color="000000" w:fill="FFFFFF"/>
            <w:noWrap/>
            <w:vAlign w:val="center"/>
            <w:hideMark/>
          </w:tcPr>
          <w:p w14:paraId="53D518E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3129BE5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(0.014)</w:t>
            </w:r>
          </w:p>
        </w:tc>
        <w:tc>
          <w:tcPr>
            <w:tcW w:w="294" w:type="dxa"/>
            <w:tcBorders>
              <w:top w:val="nil"/>
              <w:left w:val="nil"/>
              <w:bottom w:val="nil"/>
              <w:right w:val="nil"/>
            </w:tcBorders>
            <w:shd w:val="clear" w:color="000000" w:fill="FFFFFF"/>
            <w:noWrap/>
            <w:vAlign w:val="center"/>
            <w:hideMark/>
          </w:tcPr>
          <w:p w14:paraId="2978210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r>
      <w:tr w:rsidR="00526A59" w:rsidRPr="00526A59" w14:paraId="4827F5ED"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278EC40"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+1</w:t>
            </w:r>
          </w:p>
        </w:tc>
        <w:tc>
          <w:tcPr>
            <w:tcW w:w="1234" w:type="dxa"/>
            <w:tcBorders>
              <w:top w:val="nil"/>
              <w:left w:val="nil"/>
              <w:bottom w:val="nil"/>
              <w:right w:val="nil"/>
            </w:tcBorders>
            <w:shd w:val="clear" w:color="000000" w:fill="FFFFFF"/>
            <w:noWrap/>
            <w:vAlign w:val="bottom"/>
            <w:hideMark/>
          </w:tcPr>
          <w:p w14:paraId="240C514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45" w:type="dxa"/>
            <w:tcBorders>
              <w:top w:val="nil"/>
              <w:left w:val="nil"/>
              <w:bottom w:val="nil"/>
              <w:right w:val="single" w:sz="4" w:space="0" w:color="auto"/>
            </w:tcBorders>
            <w:shd w:val="clear" w:color="000000" w:fill="FFFFFF"/>
            <w:noWrap/>
            <w:vAlign w:val="center"/>
            <w:hideMark/>
          </w:tcPr>
          <w:p w14:paraId="07970A1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486B643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94" w:type="dxa"/>
            <w:tcBorders>
              <w:top w:val="nil"/>
              <w:left w:val="nil"/>
              <w:bottom w:val="nil"/>
              <w:right w:val="nil"/>
            </w:tcBorders>
            <w:shd w:val="clear" w:color="000000" w:fill="FFFFFF"/>
            <w:noWrap/>
            <w:vAlign w:val="center"/>
            <w:hideMark/>
          </w:tcPr>
          <w:p w14:paraId="5AF01A25"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73308D86" w14:textId="77777777" w:rsidTr="00526A59">
        <w:trPr>
          <w:trHeight w:val="320"/>
        </w:trPr>
        <w:tc>
          <w:tcPr>
            <w:tcW w:w="5734" w:type="dxa"/>
            <w:vMerge/>
            <w:tcBorders>
              <w:top w:val="nil"/>
              <w:left w:val="nil"/>
              <w:bottom w:val="nil"/>
              <w:right w:val="single" w:sz="4" w:space="0" w:color="auto"/>
            </w:tcBorders>
            <w:vAlign w:val="center"/>
            <w:hideMark/>
          </w:tcPr>
          <w:p w14:paraId="401261EF"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C43E9B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(0.014)</w:t>
            </w:r>
          </w:p>
        </w:tc>
        <w:tc>
          <w:tcPr>
            <w:tcW w:w="245" w:type="dxa"/>
            <w:tcBorders>
              <w:top w:val="nil"/>
              <w:left w:val="nil"/>
              <w:bottom w:val="nil"/>
              <w:right w:val="single" w:sz="4" w:space="0" w:color="auto"/>
            </w:tcBorders>
            <w:shd w:val="clear" w:color="000000" w:fill="FFFFFF"/>
            <w:noWrap/>
            <w:vAlign w:val="center"/>
            <w:hideMark/>
          </w:tcPr>
          <w:p w14:paraId="7468D2EF"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74711E6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(0.014)</w:t>
            </w:r>
          </w:p>
        </w:tc>
        <w:tc>
          <w:tcPr>
            <w:tcW w:w="294" w:type="dxa"/>
            <w:tcBorders>
              <w:top w:val="nil"/>
              <w:left w:val="nil"/>
              <w:bottom w:val="nil"/>
              <w:right w:val="nil"/>
            </w:tcBorders>
            <w:shd w:val="clear" w:color="000000" w:fill="FFFFFF"/>
            <w:noWrap/>
            <w:vAlign w:val="center"/>
            <w:hideMark/>
          </w:tcPr>
          <w:p w14:paraId="32A8076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7147FA0"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28B233BC"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+2</w:t>
            </w:r>
          </w:p>
        </w:tc>
        <w:tc>
          <w:tcPr>
            <w:tcW w:w="1234" w:type="dxa"/>
            <w:tcBorders>
              <w:top w:val="nil"/>
              <w:left w:val="nil"/>
              <w:bottom w:val="nil"/>
              <w:right w:val="nil"/>
            </w:tcBorders>
            <w:shd w:val="clear" w:color="000000" w:fill="FFFFFF"/>
            <w:noWrap/>
            <w:vAlign w:val="bottom"/>
            <w:hideMark/>
          </w:tcPr>
          <w:p w14:paraId="5777760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0.050</w:t>
            </w:r>
          </w:p>
        </w:tc>
        <w:tc>
          <w:tcPr>
            <w:tcW w:w="245" w:type="dxa"/>
            <w:tcBorders>
              <w:top w:val="nil"/>
              <w:left w:val="nil"/>
              <w:bottom w:val="nil"/>
              <w:right w:val="single" w:sz="4" w:space="0" w:color="auto"/>
            </w:tcBorders>
            <w:shd w:val="clear" w:color="000000" w:fill="FFFFFF"/>
            <w:noWrap/>
            <w:vAlign w:val="center"/>
            <w:hideMark/>
          </w:tcPr>
          <w:p w14:paraId="1CF8F139"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154ACE0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0.050</w:t>
            </w:r>
          </w:p>
        </w:tc>
        <w:tc>
          <w:tcPr>
            <w:tcW w:w="294" w:type="dxa"/>
            <w:tcBorders>
              <w:top w:val="nil"/>
              <w:left w:val="nil"/>
              <w:bottom w:val="nil"/>
              <w:right w:val="nil"/>
            </w:tcBorders>
            <w:shd w:val="clear" w:color="000000" w:fill="FFFFFF"/>
            <w:noWrap/>
            <w:vAlign w:val="center"/>
            <w:hideMark/>
          </w:tcPr>
          <w:p w14:paraId="71CED6D4"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1651FE1A" w14:textId="77777777" w:rsidTr="00526A59">
        <w:trPr>
          <w:trHeight w:val="320"/>
        </w:trPr>
        <w:tc>
          <w:tcPr>
            <w:tcW w:w="5734" w:type="dxa"/>
            <w:vMerge/>
            <w:tcBorders>
              <w:top w:val="nil"/>
              <w:left w:val="nil"/>
              <w:bottom w:val="nil"/>
              <w:right w:val="single" w:sz="4" w:space="0" w:color="auto"/>
            </w:tcBorders>
            <w:vAlign w:val="center"/>
            <w:hideMark/>
          </w:tcPr>
          <w:p w14:paraId="5870D34C"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B66F0F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45" w:type="dxa"/>
            <w:tcBorders>
              <w:top w:val="nil"/>
              <w:left w:val="nil"/>
              <w:bottom w:val="nil"/>
              <w:right w:val="single" w:sz="4" w:space="0" w:color="auto"/>
            </w:tcBorders>
            <w:shd w:val="clear" w:color="000000" w:fill="FFFFFF"/>
            <w:noWrap/>
            <w:vAlign w:val="center"/>
            <w:hideMark/>
          </w:tcPr>
          <w:p w14:paraId="3736EBD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5102E5F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94" w:type="dxa"/>
            <w:tcBorders>
              <w:top w:val="nil"/>
              <w:left w:val="nil"/>
              <w:bottom w:val="nil"/>
              <w:right w:val="nil"/>
            </w:tcBorders>
            <w:shd w:val="clear" w:color="000000" w:fill="FFFFFF"/>
            <w:noWrap/>
            <w:vAlign w:val="center"/>
            <w:hideMark/>
          </w:tcPr>
          <w:p w14:paraId="773DBB93"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5F80C9A0" w14:textId="77777777" w:rsidTr="00526A59">
        <w:trPr>
          <w:trHeight w:val="340"/>
        </w:trPr>
        <w:tc>
          <w:tcPr>
            <w:tcW w:w="5734" w:type="dxa"/>
            <w:vMerge w:val="restart"/>
            <w:tcBorders>
              <w:top w:val="nil"/>
              <w:left w:val="nil"/>
              <w:bottom w:val="nil"/>
              <w:right w:val="single" w:sz="4" w:space="0" w:color="auto"/>
            </w:tcBorders>
            <w:shd w:val="clear" w:color="000000" w:fill="FFFFFF"/>
            <w:vAlign w:val="center"/>
            <w:hideMark/>
          </w:tcPr>
          <w:p w14:paraId="628DDD1F"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+3</w:t>
            </w:r>
          </w:p>
        </w:tc>
        <w:tc>
          <w:tcPr>
            <w:tcW w:w="1234" w:type="dxa"/>
            <w:tcBorders>
              <w:top w:val="nil"/>
              <w:left w:val="nil"/>
              <w:bottom w:val="nil"/>
              <w:right w:val="nil"/>
            </w:tcBorders>
            <w:shd w:val="clear" w:color="000000" w:fill="FFFFFF"/>
            <w:noWrap/>
            <w:vAlign w:val="bottom"/>
            <w:hideMark/>
          </w:tcPr>
          <w:p w14:paraId="7768D882"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45" w:type="dxa"/>
            <w:tcBorders>
              <w:top w:val="nil"/>
              <w:left w:val="nil"/>
              <w:bottom w:val="nil"/>
              <w:right w:val="single" w:sz="4" w:space="0" w:color="auto"/>
            </w:tcBorders>
            <w:shd w:val="clear" w:color="000000" w:fill="FFFFFF"/>
            <w:noWrap/>
            <w:vAlign w:val="center"/>
            <w:hideMark/>
          </w:tcPr>
          <w:p w14:paraId="0C46E2CC"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1677716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94" w:type="dxa"/>
            <w:tcBorders>
              <w:top w:val="nil"/>
              <w:left w:val="nil"/>
              <w:bottom w:val="nil"/>
              <w:right w:val="nil"/>
            </w:tcBorders>
            <w:shd w:val="clear" w:color="000000" w:fill="FFFFFF"/>
            <w:noWrap/>
            <w:vAlign w:val="center"/>
            <w:hideMark/>
          </w:tcPr>
          <w:p w14:paraId="7F46F062"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09F4C272" w14:textId="77777777" w:rsidTr="00526A59">
        <w:trPr>
          <w:trHeight w:val="320"/>
        </w:trPr>
        <w:tc>
          <w:tcPr>
            <w:tcW w:w="5734" w:type="dxa"/>
            <w:vMerge/>
            <w:tcBorders>
              <w:top w:val="nil"/>
              <w:left w:val="nil"/>
              <w:bottom w:val="nil"/>
              <w:right w:val="single" w:sz="4" w:space="0" w:color="auto"/>
            </w:tcBorders>
            <w:vAlign w:val="center"/>
            <w:hideMark/>
          </w:tcPr>
          <w:p w14:paraId="6AC3D9DC"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689CBD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45" w:type="dxa"/>
            <w:tcBorders>
              <w:top w:val="nil"/>
              <w:left w:val="nil"/>
              <w:bottom w:val="nil"/>
              <w:right w:val="single" w:sz="4" w:space="0" w:color="auto"/>
            </w:tcBorders>
            <w:shd w:val="clear" w:color="000000" w:fill="FFFFFF"/>
            <w:noWrap/>
            <w:vAlign w:val="center"/>
            <w:hideMark/>
          </w:tcPr>
          <w:p w14:paraId="1F5E387F"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7CAA32E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94" w:type="dxa"/>
            <w:tcBorders>
              <w:top w:val="nil"/>
              <w:left w:val="nil"/>
              <w:bottom w:val="nil"/>
              <w:right w:val="nil"/>
            </w:tcBorders>
            <w:shd w:val="clear" w:color="000000" w:fill="FFFFFF"/>
            <w:noWrap/>
            <w:vAlign w:val="center"/>
            <w:hideMark/>
          </w:tcPr>
          <w:p w14:paraId="2870C9A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71D1C9A7"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0DD43A6D"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+4</w:t>
            </w:r>
          </w:p>
        </w:tc>
        <w:tc>
          <w:tcPr>
            <w:tcW w:w="1234" w:type="dxa"/>
            <w:tcBorders>
              <w:top w:val="nil"/>
              <w:left w:val="nil"/>
              <w:bottom w:val="nil"/>
              <w:right w:val="nil"/>
            </w:tcBorders>
            <w:shd w:val="clear" w:color="000000" w:fill="FFFFFF"/>
            <w:noWrap/>
            <w:vAlign w:val="bottom"/>
            <w:hideMark/>
          </w:tcPr>
          <w:p w14:paraId="21D2251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0.042</w:t>
            </w:r>
          </w:p>
        </w:tc>
        <w:tc>
          <w:tcPr>
            <w:tcW w:w="245" w:type="dxa"/>
            <w:tcBorders>
              <w:top w:val="nil"/>
              <w:left w:val="nil"/>
              <w:bottom w:val="nil"/>
              <w:right w:val="single" w:sz="4" w:space="0" w:color="auto"/>
            </w:tcBorders>
            <w:shd w:val="clear" w:color="000000" w:fill="FFFFFF"/>
            <w:noWrap/>
            <w:vAlign w:val="center"/>
            <w:hideMark/>
          </w:tcPr>
          <w:p w14:paraId="15E6A83F"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4CD1432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0.042</w:t>
            </w:r>
          </w:p>
        </w:tc>
        <w:tc>
          <w:tcPr>
            <w:tcW w:w="294" w:type="dxa"/>
            <w:tcBorders>
              <w:top w:val="nil"/>
              <w:left w:val="nil"/>
              <w:bottom w:val="nil"/>
              <w:right w:val="nil"/>
            </w:tcBorders>
            <w:shd w:val="clear" w:color="000000" w:fill="FFFFFF"/>
            <w:noWrap/>
            <w:vAlign w:val="center"/>
            <w:hideMark/>
          </w:tcPr>
          <w:p w14:paraId="13099625"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58AC0574" w14:textId="77777777" w:rsidTr="00526A59">
        <w:trPr>
          <w:trHeight w:val="320"/>
        </w:trPr>
        <w:tc>
          <w:tcPr>
            <w:tcW w:w="5734" w:type="dxa"/>
            <w:vMerge/>
            <w:tcBorders>
              <w:top w:val="nil"/>
              <w:left w:val="nil"/>
              <w:bottom w:val="nil"/>
              <w:right w:val="single" w:sz="4" w:space="0" w:color="auto"/>
            </w:tcBorders>
            <w:vAlign w:val="center"/>
            <w:hideMark/>
          </w:tcPr>
          <w:p w14:paraId="1831FF0F"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112B1C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45" w:type="dxa"/>
            <w:tcBorders>
              <w:top w:val="nil"/>
              <w:left w:val="nil"/>
              <w:bottom w:val="nil"/>
              <w:right w:val="single" w:sz="4" w:space="0" w:color="auto"/>
            </w:tcBorders>
            <w:shd w:val="clear" w:color="000000" w:fill="FFFFFF"/>
            <w:noWrap/>
            <w:vAlign w:val="center"/>
            <w:hideMark/>
          </w:tcPr>
          <w:p w14:paraId="553BC6A9"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71411C4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(0.015)</w:t>
            </w:r>
          </w:p>
        </w:tc>
        <w:tc>
          <w:tcPr>
            <w:tcW w:w="294" w:type="dxa"/>
            <w:tcBorders>
              <w:top w:val="nil"/>
              <w:left w:val="nil"/>
              <w:bottom w:val="nil"/>
              <w:right w:val="nil"/>
            </w:tcBorders>
            <w:shd w:val="clear" w:color="000000" w:fill="FFFFFF"/>
            <w:noWrap/>
            <w:vAlign w:val="center"/>
            <w:hideMark/>
          </w:tcPr>
          <w:p w14:paraId="69E6DCA8"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7E81654" w14:textId="77777777" w:rsidTr="00526A59">
        <w:trPr>
          <w:trHeight w:val="340"/>
        </w:trPr>
        <w:tc>
          <w:tcPr>
            <w:tcW w:w="5734" w:type="dxa"/>
            <w:vMerge w:val="restart"/>
            <w:tcBorders>
              <w:top w:val="nil"/>
              <w:left w:val="nil"/>
              <w:bottom w:val="nil"/>
              <w:right w:val="single" w:sz="4" w:space="0" w:color="auto"/>
            </w:tcBorders>
            <w:shd w:val="clear" w:color="000000" w:fill="FFFFFF"/>
            <w:vAlign w:val="center"/>
            <w:hideMark/>
          </w:tcPr>
          <w:p w14:paraId="5A5A069C"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+5</w:t>
            </w:r>
          </w:p>
        </w:tc>
        <w:tc>
          <w:tcPr>
            <w:tcW w:w="1234" w:type="dxa"/>
            <w:tcBorders>
              <w:top w:val="nil"/>
              <w:left w:val="nil"/>
              <w:bottom w:val="nil"/>
              <w:right w:val="nil"/>
            </w:tcBorders>
            <w:shd w:val="clear" w:color="000000" w:fill="FFFFFF"/>
            <w:noWrap/>
            <w:vAlign w:val="bottom"/>
            <w:hideMark/>
          </w:tcPr>
          <w:p w14:paraId="4ABC75D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0.067</w:t>
            </w:r>
          </w:p>
        </w:tc>
        <w:tc>
          <w:tcPr>
            <w:tcW w:w="245" w:type="dxa"/>
            <w:tcBorders>
              <w:top w:val="nil"/>
              <w:left w:val="nil"/>
              <w:bottom w:val="nil"/>
              <w:right w:val="single" w:sz="4" w:space="0" w:color="auto"/>
            </w:tcBorders>
            <w:shd w:val="clear" w:color="000000" w:fill="FFFFFF"/>
            <w:noWrap/>
            <w:vAlign w:val="center"/>
            <w:hideMark/>
          </w:tcPr>
          <w:p w14:paraId="3B01E43E"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29DF34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0.067</w:t>
            </w:r>
          </w:p>
        </w:tc>
        <w:tc>
          <w:tcPr>
            <w:tcW w:w="294" w:type="dxa"/>
            <w:tcBorders>
              <w:top w:val="nil"/>
              <w:left w:val="nil"/>
              <w:bottom w:val="nil"/>
              <w:right w:val="nil"/>
            </w:tcBorders>
            <w:shd w:val="clear" w:color="000000" w:fill="FFFFFF"/>
            <w:noWrap/>
            <w:vAlign w:val="center"/>
            <w:hideMark/>
          </w:tcPr>
          <w:p w14:paraId="108A6241"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4F9A64A9" w14:textId="77777777" w:rsidTr="00526A59">
        <w:trPr>
          <w:trHeight w:val="320"/>
        </w:trPr>
        <w:tc>
          <w:tcPr>
            <w:tcW w:w="5734" w:type="dxa"/>
            <w:vMerge/>
            <w:tcBorders>
              <w:top w:val="nil"/>
              <w:left w:val="nil"/>
              <w:bottom w:val="nil"/>
              <w:right w:val="single" w:sz="4" w:space="0" w:color="auto"/>
            </w:tcBorders>
            <w:vAlign w:val="center"/>
            <w:hideMark/>
          </w:tcPr>
          <w:p w14:paraId="0DAD6FA2"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1A0488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45" w:type="dxa"/>
            <w:tcBorders>
              <w:top w:val="nil"/>
              <w:left w:val="nil"/>
              <w:bottom w:val="nil"/>
              <w:right w:val="single" w:sz="4" w:space="0" w:color="auto"/>
            </w:tcBorders>
            <w:shd w:val="clear" w:color="000000" w:fill="FFFFFF"/>
            <w:noWrap/>
            <w:vAlign w:val="center"/>
            <w:hideMark/>
          </w:tcPr>
          <w:p w14:paraId="0D0B6978"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09D9CED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94" w:type="dxa"/>
            <w:tcBorders>
              <w:top w:val="nil"/>
              <w:left w:val="nil"/>
              <w:bottom w:val="nil"/>
              <w:right w:val="nil"/>
            </w:tcBorders>
            <w:shd w:val="clear" w:color="000000" w:fill="FFFFFF"/>
            <w:noWrap/>
            <w:vAlign w:val="center"/>
            <w:hideMark/>
          </w:tcPr>
          <w:p w14:paraId="03E0514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D1FCE2D"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11481C1"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+6</w:t>
            </w:r>
          </w:p>
        </w:tc>
        <w:tc>
          <w:tcPr>
            <w:tcW w:w="1234" w:type="dxa"/>
            <w:tcBorders>
              <w:top w:val="nil"/>
              <w:left w:val="nil"/>
              <w:bottom w:val="nil"/>
              <w:right w:val="nil"/>
            </w:tcBorders>
            <w:shd w:val="clear" w:color="000000" w:fill="FFFFFF"/>
            <w:noWrap/>
            <w:vAlign w:val="bottom"/>
            <w:hideMark/>
          </w:tcPr>
          <w:p w14:paraId="3AC2CB9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0.089</w:t>
            </w:r>
          </w:p>
        </w:tc>
        <w:tc>
          <w:tcPr>
            <w:tcW w:w="245" w:type="dxa"/>
            <w:tcBorders>
              <w:top w:val="nil"/>
              <w:left w:val="nil"/>
              <w:bottom w:val="nil"/>
              <w:right w:val="single" w:sz="4" w:space="0" w:color="auto"/>
            </w:tcBorders>
            <w:shd w:val="clear" w:color="000000" w:fill="FFFFFF"/>
            <w:noWrap/>
            <w:vAlign w:val="center"/>
            <w:hideMark/>
          </w:tcPr>
          <w:p w14:paraId="5E08364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7C17B30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0.089</w:t>
            </w:r>
          </w:p>
        </w:tc>
        <w:tc>
          <w:tcPr>
            <w:tcW w:w="294" w:type="dxa"/>
            <w:tcBorders>
              <w:top w:val="nil"/>
              <w:left w:val="nil"/>
              <w:bottom w:val="nil"/>
              <w:right w:val="nil"/>
            </w:tcBorders>
            <w:shd w:val="clear" w:color="000000" w:fill="FFFFFF"/>
            <w:noWrap/>
            <w:vAlign w:val="center"/>
            <w:hideMark/>
          </w:tcPr>
          <w:p w14:paraId="343D4228"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01ACBAE1" w14:textId="77777777" w:rsidTr="00526A59">
        <w:trPr>
          <w:trHeight w:val="320"/>
        </w:trPr>
        <w:tc>
          <w:tcPr>
            <w:tcW w:w="5734" w:type="dxa"/>
            <w:vMerge/>
            <w:tcBorders>
              <w:top w:val="nil"/>
              <w:left w:val="nil"/>
              <w:bottom w:val="nil"/>
              <w:right w:val="single" w:sz="4" w:space="0" w:color="auto"/>
            </w:tcBorders>
            <w:vAlign w:val="center"/>
            <w:hideMark/>
          </w:tcPr>
          <w:p w14:paraId="38355F6D"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29AB29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45" w:type="dxa"/>
            <w:tcBorders>
              <w:top w:val="nil"/>
              <w:left w:val="nil"/>
              <w:bottom w:val="nil"/>
              <w:right w:val="single" w:sz="4" w:space="0" w:color="auto"/>
            </w:tcBorders>
            <w:shd w:val="clear" w:color="000000" w:fill="FFFFFF"/>
            <w:noWrap/>
            <w:vAlign w:val="center"/>
            <w:hideMark/>
          </w:tcPr>
          <w:p w14:paraId="33C2041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35242A9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94" w:type="dxa"/>
            <w:tcBorders>
              <w:top w:val="nil"/>
              <w:left w:val="nil"/>
              <w:bottom w:val="nil"/>
              <w:right w:val="nil"/>
            </w:tcBorders>
            <w:shd w:val="clear" w:color="000000" w:fill="FFFFFF"/>
            <w:noWrap/>
            <w:vAlign w:val="center"/>
            <w:hideMark/>
          </w:tcPr>
          <w:p w14:paraId="4782D83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692814ED" w14:textId="77777777" w:rsidTr="00526A59">
        <w:trPr>
          <w:trHeight w:val="340"/>
        </w:trPr>
        <w:tc>
          <w:tcPr>
            <w:tcW w:w="5734" w:type="dxa"/>
            <w:vMerge w:val="restart"/>
            <w:tcBorders>
              <w:top w:val="nil"/>
              <w:left w:val="nil"/>
              <w:bottom w:val="nil"/>
              <w:right w:val="single" w:sz="4" w:space="0" w:color="auto"/>
            </w:tcBorders>
            <w:shd w:val="clear" w:color="000000" w:fill="FFFFFF"/>
            <w:vAlign w:val="center"/>
            <w:hideMark/>
          </w:tcPr>
          <w:p w14:paraId="5A89EC81"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+7</w:t>
            </w:r>
          </w:p>
        </w:tc>
        <w:tc>
          <w:tcPr>
            <w:tcW w:w="1234" w:type="dxa"/>
            <w:tcBorders>
              <w:top w:val="nil"/>
              <w:left w:val="nil"/>
              <w:bottom w:val="nil"/>
              <w:right w:val="nil"/>
            </w:tcBorders>
            <w:shd w:val="clear" w:color="000000" w:fill="FFFFFF"/>
            <w:noWrap/>
            <w:vAlign w:val="bottom"/>
            <w:hideMark/>
          </w:tcPr>
          <w:p w14:paraId="7842F57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0.099</w:t>
            </w:r>
          </w:p>
        </w:tc>
        <w:tc>
          <w:tcPr>
            <w:tcW w:w="245" w:type="dxa"/>
            <w:tcBorders>
              <w:top w:val="nil"/>
              <w:left w:val="nil"/>
              <w:bottom w:val="nil"/>
              <w:right w:val="single" w:sz="4" w:space="0" w:color="auto"/>
            </w:tcBorders>
            <w:shd w:val="clear" w:color="000000" w:fill="FFFFFF"/>
            <w:noWrap/>
            <w:vAlign w:val="center"/>
            <w:hideMark/>
          </w:tcPr>
          <w:p w14:paraId="3BD0D171"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4FFC0D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0.099</w:t>
            </w:r>
          </w:p>
        </w:tc>
        <w:tc>
          <w:tcPr>
            <w:tcW w:w="294" w:type="dxa"/>
            <w:tcBorders>
              <w:top w:val="nil"/>
              <w:left w:val="nil"/>
              <w:bottom w:val="nil"/>
              <w:right w:val="nil"/>
            </w:tcBorders>
            <w:shd w:val="clear" w:color="000000" w:fill="FFFFFF"/>
            <w:noWrap/>
            <w:vAlign w:val="center"/>
            <w:hideMark/>
          </w:tcPr>
          <w:p w14:paraId="72956A9E"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29F9DA35" w14:textId="77777777" w:rsidTr="00526A59">
        <w:trPr>
          <w:trHeight w:val="320"/>
        </w:trPr>
        <w:tc>
          <w:tcPr>
            <w:tcW w:w="5734" w:type="dxa"/>
            <w:vMerge/>
            <w:tcBorders>
              <w:top w:val="nil"/>
              <w:left w:val="nil"/>
              <w:bottom w:val="nil"/>
              <w:right w:val="single" w:sz="4" w:space="0" w:color="auto"/>
            </w:tcBorders>
            <w:vAlign w:val="center"/>
            <w:hideMark/>
          </w:tcPr>
          <w:p w14:paraId="41B7A6BB"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D843D9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45" w:type="dxa"/>
            <w:tcBorders>
              <w:top w:val="nil"/>
              <w:left w:val="nil"/>
              <w:bottom w:val="nil"/>
              <w:right w:val="single" w:sz="4" w:space="0" w:color="auto"/>
            </w:tcBorders>
            <w:shd w:val="clear" w:color="000000" w:fill="FFFFFF"/>
            <w:noWrap/>
            <w:vAlign w:val="center"/>
            <w:hideMark/>
          </w:tcPr>
          <w:p w14:paraId="153B5B5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12AF24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(0.016)</w:t>
            </w:r>
          </w:p>
        </w:tc>
        <w:tc>
          <w:tcPr>
            <w:tcW w:w="294" w:type="dxa"/>
            <w:tcBorders>
              <w:top w:val="nil"/>
              <w:left w:val="nil"/>
              <w:bottom w:val="nil"/>
              <w:right w:val="nil"/>
            </w:tcBorders>
            <w:shd w:val="clear" w:color="000000" w:fill="FFFFFF"/>
            <w:noWrap/>
            <w:vAlign w:val="center"/>
            <w:hideMark/>
          </w:tcPr>
          <w:p w14:paraId="079CEB4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162F5F59"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134E291"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+8</w:t>
            </w:r>
          </w:p>
        </w:tc>
        <w:tc>
          <w:tcPr>
            <w:tcW w:w="1234" w:type="dxa"/>
            <w:tcBorders>
              <w:top w:val="nil"/>
              <w:left w:val="nil"/>
              <w:bottom w:val="nil"/>
              <w:right w:val="nil"/>
            </w:tcBorders>
            <w:shd w:val="clear" w:color="000000" w:fill="FFFFFF"/>
            <w:noWrap/>
            <w:vAlign w:val="bottom"/>
            <w:hideMark/>
          </w:tcPr>
          <w:p w14:paraId="14E4C12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0.088</w:t>
            </w:r>
          </w:p>
        </w:tc>
        <w:tc>
          <w:tcPr>
            <w:tcW w:w="245" w:type="dxa"/>
            <w:tcBorders>
              <w:top w:val="nil"/>
              <w:left w:val="nil"/>
              <w:bottom w:val="nil"/>
              <w:right w:val="single" w:sz="4" w:space="0" w:color="auto"/>
            </w:tcBorders>
            <w:shd w:val="clear" w:color="000000" w:fill="FFFFFF"/>
            <w:noWrap/>
            <w:vAlign w:val="center"/>
            <w:hideMark/>
          </w:tcPr>
          <w:p w14:paraId="26D38F6D"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1D32054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0.088</w:t>
            </w:r>
          </w:p>
        </w:tc>
        <w:tc>
          <w:tcPr>
            <w:tcW w:w="294" w:type="dxa"/>
            <w:tcBorders>
              <w:top w:val="nil"/>
              <w:left w:val="nil"/>
              <w:bottom w:val="nil"/>
              <w:right w:val="nil"/>
            </w:tcBorders>
            <w:shd w:val="clear" w:color="000000" w:fill="FFFFFF"/>
            <w:noWrap/>
            <w:vAlign w:val="center"/>
            <w:hideMark/>
          </w:tcPr>
          <w:p w14:paraId="2301C6A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1B67BD82" w14:textId="77777777" w:rsidTr="00526A59">
        <w:trPr>
          <w:trHeight w:val="320"/>
        </w:trPr>
        <w:tc>
          <w:tcPr>
            <w:tcW w:w="5734" w:type="dxa"/>
            <w:vMerge/>
            <w:tcBorders>
              <w:top w:val="nil"/>
              <w:left w:val="nil"/>
              <w:bottom w:val="nil"/>
              <w:right w:val="single" w:sz="4" w:space="0" w:color="auto"/>
            </w:tcBorders>
            <w:vAlign w:val="center"/>
            <w:hideMark/>
          </w:tcPr>
          <w:p w14:paraId="326988EA"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5B6399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(0.017)</w:t>
            </w:r>
          </w:p>
        </w:tc>
        <w:tc>
          <w:tcPr>
            <w:tcW w:w="245" w:type="dxa"/>
            <w:tcBorders>
              <w:top w:val="nil"/>
              <w:left w:val="nil"/>
              <w:bottom w:val="nil"/>
              <w:right w:val="single" w:sz="4" w:space="0" w:color="auto"/>
            </w:tcBorders>
            <w:shd w:val="clear" w:color="000000" w:fill="FFFFFF"/>
            <w:noWrap/>
            <w:vAlign w:val="center"/>
            <w:hideMark/>
          </w:tcPr>
          <w:p w14:paraId="0ACC6C1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F5B691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(0.017)</w:t>
            </w:r>
          </w:p>
        </w:tc>
        <w:tc>
          <w:tcPr>
            <w:tcW w:w="294" w:type="dxa"/>
            <w:tcBorders>
              <w:top w:val="nil"/>
              <w:left w:val="nil"/>
              <w:bottom w:val="nil"/>
              <w:right w:val="nil"/>
            </w:tcBorders>
            <w:shd w:val="clear" w:color="000000" w:fill="FFFFFF"/>
            <w:noWrap/>
            <w:vAlign w:val="center"/>
            <w:hideMark/>
          </w:tcPr>
          <w:p w14:paraId="50DBCD8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0A4F15D9"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5DDF06D"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+9</w:t>
            </w:r>
          </w:p>
        </w:tc>
        <w:tc>
          <w:tcPr>
            <w:tcW w:w="1234" w:type="dxa"/>
            <w:tcBorders>
              <w:top w:val="nil"/>
              <w:left w:val="nil"/>
              <w:bottom w:val="nil"/>
              <w:right w:val="nil"/>
            </w:tcBorders>
            <w:shd w:val="clear" w:color="000000" w:fill="FFFFFF"/>
            <w:noWrap/>
            <w:vAlign w:val="bottom"/>
            <w:hideMark/>
          </w:tcPr>
          <w:p w14:paraId="5E5D7B62"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-0.089</w:t>
            </w:r>
          </w:p>
        </w:tc>
        <w:tc>
          <w:tcPr>
            <w:tcW w:w="245" w:type="dxa"/>
            <w:tcBorders>
              <w:top w:val="nil"/>
              <w:left w:val="nil"/>
              <w:bottom w:val="nil"/>
              <w:right w:val="single" w:sz="4" w:space="0" w:color="auto"/>
            </w:tcBorders>
            <w:shd w:val="clear" w:color="000000" w:fill="FFFFFF"/>
            <w:noWrap/>
            <w:vAlign w:val="center"/>
            <w:hideMark/>
          </w:tcPr>
          <w:p w14:paraId="43534D1F"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6DC27507"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0.089</w:t>
            </w:r>
          </w:p>
        </w:tc>
        <w:tc>
          <w:tcPr>
            <w:tcW w:w="294" w:type="dxa"/>
            <w:tcBorders>
              <w:top w:val="nil"/>
              <w:left w:val="nil"/>
              <w:bottom w:val="nil"/>
              <w:right w:val="nil"/>
            </w:tcBorders>
            <w:shd w:val="clear" w:color="000000" w:fill="FFFFFF"/>
            <w:noWrap/>
            <w:vAlign w:val="center"/>
            <w:hideMark/>
          </w:tcPr>
          <w:p w14:paraId="5810746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05EF0F18" w14:textId="77777777" w:rsidTr="00526A59">
        <w:trPr>
          <w:trHeight w:val="320"/>
        </w:trPr>
        <w:tc>
          <w:tcPr>
            <w:tcW w:w="5734" w:type="dxa"/>
            <w:vMerge/>
            <w:tcBorders>
              <w:top w:val="nil"/>
              <w:left w:val="nil"/>
              <w:bottom w:val="nil"/>
              <w:right w:val="single" w:sz="4" w:space="0" w:color="auto"/>
            </w:tcBorders>
            <w:vAlign w:val="center"/>
            <w:hideMark/>
          </w:tcPr>
          <w:p w14:paraId="1705EBAB"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92EBDA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(0.018)</w:t>
            </w:r>
          </w:p>
        </w:tc>
        <w:tc>
          <w:tcPr>
            <w:tcW w:w="245" w:type="dxa"/>
            <w:tcBorders>
              <w:top w:val="nil"/>
              <w:left w:val="nil"/>
              <w:bottom w:val="nil"/>
              <w:right w:val="single" w:sz="4" w:space="0" w:color="auto"/>
            </w:tcBorders>
            <w:shd w:val="clear" w:color="000000" w:fill="FFFFFF"/>
            <w:noWrap/>
            <w:vAlign w:val="center"/>
            <w:hideMark/>
          </w:tcPr>
          <w:p w14:paraId="712FD61C"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335F3D2"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(0.018)</w:t>
            </w:r>
          </w:p>
        </w:tc>
        <w:tc>
          <w:tcPr>
            <w:tcW w:w="294" w:type="dxa"/>
            <w:tcBorders>
              <w:top w:val="nil"/>
              <w:left w:val="nil"/>
              <w:bottom w:val="nil"/>
              <w:right w:val="nil"/>
            </w:tcBorders>
            <w:shd w:val="clear" w:color="000000" w:fill="FFFFFF"/>
            <w:noWrap/>
            <w:vAlign w:val="center"/>
            <w:hideMark/>
          </w:tcPr>
          <w:p w14:paraId="57D79EAC"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2E8E86D"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3F22C0B2"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≥10</w:t>
            </w:r>
          </w:p>
        </w:tc>
        <w:tc>
          <w:tcPr>
            <w:tcW w:w="1234" w:type="dxa"/>
            <w:tcBorders>
              <w:top w:val="nil"/>
              <w:left w:val="nil"/>
              <w:bottom w:val="nil"/>
              <w:right w:val="nil"/>
            </w:tcBorders>
            <w:shd w:val="clear" w:color="000000" w:fill="FFFFFF"/>
            <w:noWrap/>
            <w:vAlign w:val="bottom"/>
            <w:hideMark/>
          </w:tcPr>
          <w:p w14:paraId="3347304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0.139</w:t>
            </w:r>
          </w:p>
        </w:tc>
        <w:tc>
          <w:tcPr>
            <w:tcW w:w="245" w:type="dxa"/>
            <w:tcBorders>
              <w:top w:val="nil"/>
              <w:left w:val="nil"/>
              <w:bottom w:val="nil"/>
              <w:right w:val="single" w:sz="4" w:space="0" w:color="auto"/>
            </w:tcBorders>
            <w:shd w:val="clear" w:color="000000" w:fill="FFFFFF"/>
            <w:noWrap/>
            <w:vAlign w:val="center"/>
            <w:hideMark/>
          </w:tcPr>
          <w:p w14:paraId="4D12DAF2"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67664BA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0.139</w:t>
            </w:r>
          </w:p>
        </w:tc>
        <w:tc>
          <w:tcPr>
            <w:tcW w:w="294" w:type="dxa"/>
            <w:tcBorders>
              <w:top w:val="nil"/>
              <w:left w:val="nil"/>
              <w:bottom w:val="nil"/>
              <w:right w:val="nil"/>
            </w:tcBorders>
            <w:shd w:val="clear" w:color="000000" w:fill="FFFFFF"/>
            <w:noWrap/>
            <w:vAlign w:val="center"/>
            <w:hideMark/>
          </w:tcPr>
          <w:p w14:paraId="5A7057E6"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25D165ED" w14:textId="77777777" w:rsidTr="00526A59">
        <w:trPr>
          <w:trHeight w:val="320"/>
        </w:trPr>
        <w:tc>
          <w:tcPr>
            <w:tcW w:w="5734" w:type="dxa"/>
            <w:vMerge/>
            <w:tcBorders>
              <w:top w:val="nil"/>
              <w:left w:val="nil"/>
              <w:bottom w:val="nil"/>
              <w:right w:val="single" w:sz="4" w:space="0" w:color="auto"/>
            </w:tcBorders>
            <w:vAlign w:val="center"/>
            <w:hideMark/>
          </w:tcPr>
          <w:p w14:paraId="5C295737"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903CCF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(0.022)</w:t>
            </w:r>
          </w:p>
        </w:tc>
        <w:tc>
          <w:tcPr>
            <w:tcW w:w="245" w:type="dxa"/>
            <w:tcBorders>
              <w:top w:val="nil"/>
              <w:left w:val="nil"/>
              <w:bottom w:val="nil"/>
              <w:right w:val="single" w:sz="4" w:space="0" w:color="auto"/>
            </w:tcBorders>
            <w:shd w:val="clear" w:color="000000" w:fill="FFFFFF"/>
            <w:noWrap/>
            <w:vAlign w:val="center"/>
            <w:hideMark/>
          </w:tcPr>
          <w:p w14:paraId="61DB26D3"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F6D599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(0.022)</w:t>
            </w:r>
          </w:p>
        </w:tc>
        <w:tc>
          <w:tcPr>
            <w:tcW w:w="294" w:type="dxa"/>
            <w:tcBorders>
              <w:top w:val="nil"/>
              <w:left w:val="nil"/>
              <w:bottom w:val="nil"/>
              <w:right w:val="nil"/>
            </w:tcBorders>
            <w:shd w:val="clear" w:color="000000" w:fill="FFFFFF"/>
            <w:noWrap/>
            <w:vAlign w:val="center"/>
            <w:hideMark/>
          </w:tcPr>
          <w:p w14:paraId="11132078"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042DF086"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6D3FEFC4"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-2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48DE14A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-0.031</w:t>
            </w:r>
          </w:p>
        </w:tc>
        <w:tc>
          <w:tcPr>
            <w:tcW w:w="245" w:type="dxa"/>
            <w:tcBorders>
              <w:top w:val="nil"/>
              <w:left w:val="nil"/>
              <w:bottom w:val="nil"/>
              <w:right w:val="single" w:sz="4" w:space="0" w:color="auto"/>
            </w:tcBorders>
            <w:shd w:val="clear" w:color="000000" w:fill="FFFFFF"/>
            <w:noWrap/>
            <w:vAlign w:val="center"/>
            <w:hideMark/>
          </w:tcPr>
          <w:p w14:paraId="0ACB64F3"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37EC71A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-0.031</w:t>
            </w:r>
          </w:p>
        </w:tc>
        <w:tc>
          <w:tcPr>
            <w:tcW w:w="294" w:type="dxa"/>
            <w:tcBorders>
              <w:top w:val="nil"/>
              <w:left w:val="nil"/>
              <w:bottom w:val="nil"/>
              <w:right w:val="nil"/>
            </w:tcBorders>
            <w:shd w:val="clear" w:color="000000" w:fill="FFFFFF"/>
            <w:noWrap/>
            <w:vAlign w:val="center"/>
            <w:hideMark/>
          </w:tcPr>
          <w:p w14:paraId="04D1EAE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r>
      <w:tr w:rsidR="00526A59" w:rsidRPr="00526A59" w14:paraId="730DE168" w14:textId="77777777" w:rsidTr="00526A59">
        <w:trPr>
          <w:trHeight w:val="320"/>
        </w:trPr>
        <w:tc>
          <w:tcPr>
            <w:tcW w:w="5734" w:type="dxa"/>
            <w:vMerge/>
            <w:tcBorders>
              <w:top w:val="nil"/>
              <w:left w:val="nil"/>
              <w:bottom w:val="nil"/>
              <w:right w:val="single" w:sz="4" w:space="0" w:color="auto"/>
            </w:tcBorders>
            <w:vAlign w:val="center"/>
            <w:hideMark/>
          </w:tcPr>
          <w:p w14:paraId="7170EC2A"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420FCE6"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(0.046)</w:t>
            </w:r>
          </w:p>
        </w:tc>
        <w:tc>
          <w:tcPr>
            <w:tcW w:w="245" w:type="dxa"/>
            <w:tcBorders>
              <w:top w:val="nil"/>
              <w:left w:val="nil"/>
              <w:bottom w:val="nil"/>
              <w:right w:val="single" w:sz="4" w:space="0" w:color="auto"/>
            </w:tcBorders>
            <w:shd w:val="clear" w:color="000000" w:fill="FFFFFF"/>
            <w:noWrap/>
            <w:vAlign w:val="center"/>
            <w:hideMark/>
          </w:tcPr>
          <w:p w14:paraId="5092BDEC"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88CF3A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(0.046)</w:t>
            </w:r>
          </w:p>
        </w:tc>
        <w:tc>
          <w:tcPr>
            <w:tcW w:w="294" w:type="dxa"/>
            <w:tcBorders>
              <w:top w:val="nil"/>
              <w:left w:val="nil"/>
              <w:bottom w:val="nil"/>
              <w:right w:val="nil"/>
            </w:tcBorders>
            <w:shd w:val="clear" w:color="000000" w:fill="FFFFFF"/>
            <w:noWrap/>
            <w:vAlign w:val="center"/>
            <w:hideMark/>
          </w:tcPr>
          <w:p w14:paraId="426D3819"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7AB6D6B4"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68D5A2C"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-1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27C952E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45" w:type="dxa"/>
            <w:tcBorders>
              <w:top w:val="nil"/>
              <w:left w:val="nil"/>
              <w:bottom w:val="nil"/>
              <w:right w:val="single" w:sz="4" w:space="0" w:color="auto"/>
            </w:tcBorders>
            <w:shd w:val="clear" w:color="000000" w:fill="FFFFFF"/>
            <w:noWrap/>
            <w:vAlign w:val="center"/>
            <w:hideMark/>
          </w:tcPr>
          <w:p w14:paraId="717D562E"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706017B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-0.045</w:t>
            </w:r>
          </w:p>
        </w:tc>
        <w:tc>
          <w:tcPr>
            <w:tcW w:w="294" w:type="dxa"/>
            <w:tcBorders>
              <w:top w:val="nil"/>
              <w:left w:val="nil"/>
              <w:bottom w:val="nil"/>
              <w:right w:val="nil"/>
            </w:tcBorders>
            <w:shd w:val="clear" w:color="000000" w:fill="FFFFFF"/>
            <w:noWrap/>
            <w:vAlign w:val="center"/>
            <w:hideMark/>
          </w:tcPr>
          <w:p w14:paraId="317BF01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 xml:space="preserve">   </w:t>
            </w:r>
          </w:p>
        </w:tc>
      </w:tr>
      <w:tr w:rsidR="00526A59" w:rsidRPr="00526A59" w14:paraId="21B43274" w14:textId="77777777" w:rsidTr="00526A59">
        <w:trPr>
          <w:trHeight w:val="320"/>
        </w:trPr>
        <w:tc>
          <w:tcPr>
            <w:tcW w:w="5734" w:type="dxa"/>
            <w:vMerge/>
            <w:tcBorders>
              <w:top w:val="nil"/>
              <w:left w:val="nil"/>
              <w:bottom w:val="nil"/>
              <w:right w:val="single" w:sz="4" w:space="0" w:color="auto"/>
            </w:tcBorders>
            <w:vAlign w:val="center"/>
            <w:hideMark/>
          </w:tcPr>
          <w:p w14:paraId="5357BF9C"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85EA633"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(0.040)</w:t>
            </w:r>
          </w:p>
        </w:tc>
        <w:tc>
          <w:tcPr>
            <w:tcW w:w="245" w:type="dxa"/>
            <w:tcBorders>
              <w:top w:val="nil"/>
              <w:left w:val="nil"/>
              <w:bottom w:val="nil"/>
              <w:right w:val="single" w:sz="4" w:space="0" w:color="auto"/>
            </w:tcBorders>
            <w:shd w:val="clear" w:color="000000" w:fill="FFFFFF"/>
            <w:noWrap/>
            <w:vAlign w:val="center"/>
            <w:hideMark/>
          </w:tcPr>
          <w:p w14:paraId="121AED43"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E0CEB0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(0.040)</w:t>
            </w:r>
          </w:p>
        </w:tc>
        <w:tc>
          <w:tcPr>
            <w:tcW w:w="294" w:type="dxa"/>
            <w:tcBorders>
              <w:top w:val="nil"/>
              <w:left w:val="nil"/>
              <w:bottom w:val="nil"/>
              <w:right w:val="nil"/>
            </w:tcBorders>
            <w:shd w:val="clear" w:color="000000" w:fill="FFFFFF"/>
            <w:noWrap/>
            <w:vAlign w:val="center"/>
            <w:hideMark/>
          </w:tcPr>
          <w:p w14:paraId="40A1FEAE"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69019347"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19004C6F"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0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3B80EBF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-0.190</w:t>
            </w:r>
          </w:p>
        </w:tc>
        <w:tc>
          <w:tcPr>
            <w:tcW w:w="245" w:type="dxa"/>
            <w:tcBorders>
              <w:top w:val="nil"/>
              <w:left w:val="nil"/>
              <w:bottom w:val="nil"/>
              <w:right w:val="single" w:sz="4" w:space="0" w:color="auto"/>
            </w:tcBorders>
            <w:shd w:val="clear" w:color="000000" w:fill="FFFFFF"/>
            <w:noWrap/>
            <w:vAlign w:val="center"/>
            <w:hideMark/>
          </w:tcPr>
          <w:p w14:paraId="5BE8E13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10157C5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-0.190</w:t>
            </w:r>
          </w:p>
        </w:tc>
        <w:tc>
          <w:tcPr>
            <w:tcW w:w="294" w:type="dxa"/>
            <w:tcBorders>
              <w:top w:val="nil"/>
              <w:left w:val="nil"/>
              <w:bottom w:val="nil"/>
              <w:right w:val="nil"/>
            </w:tcBorders>
            <w:shd w:val="clear" w:color="000000" w:fill="FFFFFF"/>
            <w:noWrap/>
            <w:vAlign w:val="center"/>
            <w:hideMark/>
          </w:tcPr>
          <w:p w14:paraId="2350ACC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586B40A4" w14:textId="77777777" w:rsidTr="00526A59">
        <w:trPr>
          <w:trHeight w:val="320"/>
        </w:trPr>
        <w:tc>
          <w:tcPr>
            <w:tcW w:w="5734" w:type="dxa"/>
            <w:vMerge/>
            <w:tcBorders>
              <w:top w:val="nil"/>
              <w:left w:val="nil"/>
              <w:bottom w:val="nil"/>
              <w:right w:val="single" w:sz="4" w:space="0" w:color="auto"/>
            </w:tcBorders>
            <w:vAlign w:val="center"/>
            <w:hideMark/>
          </w:tcPr>
          <w:p w14:paraId="7C7BF916"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B0FA93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(0.036)</w:t>
            </w:r>
          </w:p>
        </w:tc>
        <w:tc>
          <w:tcPr>
            <w:tcW w:w="245" w:type="dxa"/>
            <w:tcBorders>
              <w:top w:val="nil"/>
              <w:left w:val="nil"/>
              <w:bottom w:val="nil"/>
              <w:right w:val="single" w:sz="4" w:space="0" w:color="auto"/>
            </w:tcBorders>
            <w:shd w:val="clear" w:color="000000" w:fill="FFFFFF"/>
            <w:noWrap/>
            <w:vAlign w:val="center"/>
            <w:hideMark/>
          </w:tcPr>
          <w:p w14:paraId="62DB964B"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D21A9F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(0.036)</w:t>
            </w:r>
          </w:p>
        </w:tc>
        <w:tc>
          <w:tcPr>
            <w:tcW w:w="294" w:type="dxa"/>
            <w:tcBorders>
              <w:top w:val="nil"/>
              <w:left w:val="nil"/>
              <w:bottom w:val="nil"/>
              <w:right w:val="nil"/>
            </w:tcBorders>
            <w:shd w:val="clear" w:color="000000" w:fill="FFFFFF"/>
            <w:noWrap/>
            <w:vAlign w:val="center"/>
            <w:hideMark/>
          </w:tcPr>
          <w:p w14:paraId="2F833A9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1D888EE"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259BBD9B"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+1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62C5979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-0.273</w:t>
            </w:r>
          </w:p>
        </w:tc>
        <w:tc>
          <w:tcPr>
            <w:tcW w:w="245" w:type="dxa"/>
            <w:tcBorders>
              <w:top w:val="nil"/>
              <w:left w:val="nil"/>
              <w:bottom w:val="nil"/>
              <w:right w:val="single" w:sz="4" w:space="0" w:color="auto"/>
            </w:tcBorders>
            <w:shd w:val="clear" w:color="000000" w:fill="FFFFFF"/>
            <w:noWrap/>
            <w:vAlign w:val="center"/>
            <w:hideMark/>
          </w:tcPr>
          <w:p w14:paraId="51560D45"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6D47E27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0.273</w:t>
            </w:r>
          </w:p>
        </w:tc>
        <w:tc>
          <w:tcPr>
            <w:tcW w:w="294" w:type="dxa"/>
            <w:tcBorders>
              <w:top w:val="nil"/>
              <w:left w:val="nil"/>
              <w:bottom w:val="nil"/>
              <w:right w:val="nil"/>
            </w:tcBorders>
            <w:shd w:val="clear" w:color="000000" w:fill="FFFFFF"/>
            <w:noWrap/>
            <w:vAlign w:val="center"/>
            <w:hideMark/>
          </w:tcPr>
          <w:p w14:paraId="79C8A7C1"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16D6C469" w14:textId="77777777" w:rsidTr="00526A59">
        <w:trPr>
          <w:trHeight w:val="320"/>
        </w:trPr>
        <w:tc>
          <w:tcPr>
            <w:tcW w:w="5734" w:type="dxa"/>
            <w:vMerge/>
            <w:tcBorders>
              <w:top w:val="nil"/>
              <w:left w:val="nil"/>
              <w:bottom w:val="nil"/>
              <w:right w:val="single" w:sz="4" w:space="0" w:color="auto"/>
            </w:tcBorders>
            <w:vAlign w:val="center"/>
            <w:hideMark/>
          </w:tcPr>
          <w:p w14:paraId="0B09E902"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63C9D56"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(0.025)</w:t>
            </w:r>
          </w:p>
        </w:tc>
        <w:tc>
          <w:tcPr>
            <w:tcW w:w="245" w:type="dxa"/>
            <w:tcBorders>
              <w:top w:val="nil"/>
              <w:left w:val="nil"/>
              <w:bottom w:val="nil"/>
              <w:right w:val="single" w:sz="4" w:space="0" w:color="auto"/>
            </w:tcBorders>
            <w:shd w:val="clear" w:color="000000" w:fill="FFFFFF"/>
            <w:noWrap/>
            <w:vAlign w:val="center"/>
            <w:hideMark/>
          </w:tcPr>
          <w:p w14:paraId="2E6CBB2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C54382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(0.025)</w:t>
            </w:r>
          </w:p>
        </w:tc>
        <w:tc>
          <w:tcPr>
            <w:tcW w:w="294" w:type="dxa"/>
            <w:tcBorders>
              <w:top w:val="nil"/>
              <w:left w:val="nil"/>
              <w:bottom w:val="nil"/>
              <w:right w:val="nil"/>
            </w:tcBorders>
            <w:shd w:val="clear" w:color="000000" w:fill="FFFFFF"/>
            <w:noWrap/>
            <w:vAlign w:val="center"/>
            <w:hideMark/>
          </w:tcPr>
          <w:p w14:paraId="65FC3053"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3B23E785"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4839A4F8"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+2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667A9A1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-0.295</w:t>
            </w:r>
          </w:p>
        </w:tc>
        <w:tc>
          <w:tcPr>
            <w:tcW w:w="245" w:type="dxa"/>
            <w:tcBorders>
              <w:top w:val="nil"/>
              <w:left w:val="nil"/>
              <w:bottom w:val="nil"/>
              <w:right w:val="single" w:sz="4" w:space="0" w:color="auto"/>
            </w:tcBorders>
            <w:shd w:val="clear" w:color="000000" w:fill="FFFFFF"/>
            <w:noWrap/>
            <w:vAlign w:val="center"/>
            <w:hideMark/>
          </w:tcPr>
          <w:p w14:paraId="0876D9C0"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28C495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-0.295</w:t>
            </w:r>
          </w:p>
        </w:tc>
        <w:tc>
          <w:tcPr>
            <w:tcW w:w="294" w:type="dxa"/>
            <w:tcBorders>
              <w:top w:val="nil"/>
              <w:left w:val="nil"/>
              <w:bottom w:val="nil"/>
              <w:right w:val="nil"/>
            </w:tcBorders>
            <w:shd w:val="clear" w:color="000000" w:fill="FFFFFF"/>
            <w:noWrap/>
            <w:vAlign w:val="center"/>
            <w:hideMark/>
          </w:tcPr>
          <w:p w14:paraId="6AE70125"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49752E73" w14:textId="77777777" w:rsidTr="00526A59">
        <w:trPr>
          <w:trHeight w:val="320"/>
        </w:trPr>
        <w:tc>
          <w:tcPr>
            <w:tcW w:w="5734" w:type="dxa"/>
            <w:vMerge/>
            <w:tcBorders>
              <w:top w:val="nil"/>
              <w:left w:val="nil"/>
              <w:bottom w:val="nil"/>
              <w:right w:val="single" w:sz="4" w:space="0" w:color="auto"/>
            </w:tcBorders>
            <w:vAlign w:val="center"/>
            <w:hideMark/>
          </w:tcPr>
          <w:p w14:paraId="6B75B58D"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DC2D31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(0.024)</w:t>
            </w:r>
          </w:p>
        </w:tc>
        <w:tc>
          <w:tcPr>
            <w:tcW w:w="245" w:type="dxa"/>
            <w:tcBorders>
              <w:top w:val="nil"/>
              <w:left w:val="nil"/>
              <w:bottom w:val="nil"/>
              <w:right w:val="single" w:sz="4" w:space="0" w:color="auto"/>
            </w:tcBorders>
            <w:shd w:val="clear" w:color="000000" w:fill="FFFFFF"/>
            <w:noWrap/>
            <w:vAlign w:val="center"/>
            <w:hideMark/>
          </w:tcPr>
          <w:p w14:paraId="5627FBEE"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6F8C19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(0.024)</w:t>
            </w:r>
          </w:p>
        </w:tc>
        <w:tc>
          <w:tcPr>
            <w:tcW w:w="294" w:type="dxa"/>
            <w:tcBorders>
              <w:top w:val="nil"/>
              <w:left w:val="nil"/>
              <w:bottom w:val="nil"/>
              <w:right w:val="nil"/>
            </w:tcBorders>
            <w:shd w:val="clear" w:color="000000" w:fill="FFFFFF"/>
            <w:noWrap/>
            <w:vAlign w:val="center"/>
            <w:hideMark/>
          </w:tcPr>
          <w:p w14:paraId="202869F2"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3C1A3CFF"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2F83BAD5"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+3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6BA35B0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-0.318</w:t>
            </w:r>
          </w:p>
        </w:tc>
        <w:tc>
          <w:tcPr>
            <w:tcW w:w="245" w:type="dxa"/>
            <w:tcBorders>
              <w:top w:val="nil"/>
              <w:left w:val="nil"/>
              <w:bottom w:val="nil"/>
              <w:right w:val="single" w:sz="4" w:space="0" w:color="auto"/>
            </w:tcBorders>
            <w:shd w:val="clear" w:color="000000" w:fill="FFFFFF"/>
            <w:noWrap/>
            <w:vAlign w:val="center"/>
            <w:hideMark/>
          </w:tcPr>
          <w:p w14:paraId="74E86A6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1347785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-0.318</w:t>
            </w:r>
          </w:p>
        </w:tc>
        <w:tc>
          <w:tcPr>
            <w:tcW w:w="294" w:type="dxa"/>
            <w:tcBorders>
              <w:top w:val="nil"/>
              <w:left w:val="nil"/>
              <w:bottom w:val="nil"/>
              <w:right w:val="nil"/>
            </w:tcBorders>
            <w:shd w:val="clear" w:color="000000" w:fill="FFFFFF"/>
            <w:noWrap/>
            <w:vAlign w:val="center"/>
            <w:hideMark/>
          </w:tcPr>
          <w:p w14:paraId="37E089FB"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125386D8" w14:textId="77777777" w:rsidTr="00526A59">
        <w:trPr>
          <w:trHeight w:val="320"/>
        </w:trPr>
        <w:tc>
          <w:tcPr>
            <w:tcW w:w="5734" w:type="dxa"/>
            <w:vMerge/>
            <w:tcBorders>
              <w:top w:val="nil"/>
              <w:left w:val="nil"/>
              <w:bottom w:val="nil"/>
              <w:right w:val="single" w:sz="4" w:space="0" w:color="auto"/>
            </w:tcBorders>
            <w:vAlign w:val="center"/>
            <w:hideMark/>
          </w:tcPr>
          <w:p w14:paraId="55A2E22B"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4CB7C2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(0.025)</w:t>
            </w:r>
          </w:p>
        </w:tc>
        <w:tc>
          <w:tcPr>
            <w:tcW w:w="245" w:type="dxa"/>
            <w:tcBorders>
              <w:top w:val="nil"/>
              <w:left w:val="nil"/>
              <w:bottom w:val="nil"/>
              <w:right w:val="single" w:sz="4" w:space="0" w:color="auto"/>
            </w:tcBorders>
            <w:shd w:val="clear" w:color="000000" w:fill="FFFFFF"/>
            <w:noWrap/>
            <w:vAlign w:val="center"/>
            <w:hideMark/>
          </w:tcPr>
          <w:p w14:paraId="6D672A5A"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9D0A96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(0.025)</w:t>
            </w:r>
          </w:p>
        </w:tc>
        <w:tc>
          <w:tcPr>
            <w:tcW w:w="294" w:type="dxa"/>
            <w:tcBorders>
              <w:top w:val="nil"/>
              <w:left w:val="nil"/>
              <w:bottom w:val="nil"/>
              <w:right w:val="nil"/>
            </w:tcBorders>
            <w:shd w:val="clear" w:color="000000" w:fill="FFFFFF"/>
            <w:noWrap/>
            <w:vAlign w:val="center"/>
            <w:hideMark/>
          </w:tcPr>
          <w:p w14:paraId="44FF5458"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43354319"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2968BBE6"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+4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31FD3F92"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-0.350</w:t>
            </w:r>
          </w:p>
        </w:tc>
        <w:tc>
          <w:tcPr>
            <w:tcW w:w="245" w:type="dxa"/>
            <w:tcBorders>
              <w:top w:val="nil"/>
              <w:left w:val="nil"/>
              <w:bottom w:val="nil"/>
              <w:right w:val="single" w:sz="4" w:space="0" w:color="auto"/>
            </w:tcBorders>
            <w:shd w:val="clear" w:color="000000" w:fill="FFFFFF"/>
            <w:noWrap/>
            <w:vAlign w:val="center"/>
            <w:hideMark/>
          </w:tcPr>
          <w:p w14:paraId="5B7C95C9"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58B206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-0.350</w:t>
            </w:r>
          </w:p>
        </w:tc>
        <w:tc>
          <w:tcPr>
            <w:tcW w:w="294" w:type="dxa"/>
            <w:tcBorders>
              <w:top w:val="nil"/>
              <w:left w:val="nil"/>
              <w:bottom w:val="nil"/>
              <w:right w:val="nil"/>
            </w:tcBorders>
            <w:shd w:val="clear" w:color="000000" w:fill="FFFFFF"/>
            <w:noWrap/>
            <w:vAlign w:val="center"/>
            <w:hideMark/>
          </w:tcPr>
          <w:p w14:paraId="5565F357"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7644CA7D" w14:textId="77777777" w:rsidTr="00526A59">
        <w:trPr>
          <w:trHeight w:val="320"/>
        </w:trPr>
        <w:tc>
          <w:tcPr>
            <w:tcW w:w="5734" w:type="dxa"/>
            <w:vMerge/>
            <w:tcBorders>
              <w:top w:val="nil"/>
              <w:left w:val="nil"/>
              <w:bottom w:val="nil"/>
              <w:right w:val="single" w:sz="4" w:space="0" w:color="auto"/>
            </w:tcBorders>
            <w:vAlign w:val="center"/>
            <w:hideMark/>
          </w:tcPr>
          <w:p w14:paraId="6D5BDE89"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8752068"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(0.038)</w:t>
            </w:r>
          </w:p>
        </w:tc>
        <w:tc>
          <w:tcPr>
            <w:tcW w:w="245" w:type="dxa"/>
            <w:tcBorders>
              <w:top w:val="nil"/>
              <w:left w:val="nil"/>
              <w:bottom w:val="nil"/>
              <w:right w:val="single" w:sz="4" w:space="0" w:color="auto"/>
            </w:tcBorders>
            <w:shd w:val="clear" w:color="000000" w:fill="FFFFFF"/>
            <w:noWrap/>
            <w:vAlign w:val="center"/>
            <w:hideMark/>
          </w:tcPr>
          <w:p w14:paraId="406932B0"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ECA5BF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(0.038)</w:t>
            </w:r>
          </w:p>
        </w:tc>
        <w:tc>
          <w:tcPr>
            <w:tcW w:w="294" w:type="dxa"/>
            <w:tcBorders>
              <w:top w:val="nil"/>
              <w:left w:val="nil"/>
              <w:bottom w:val="nil"/>
              <w:right w:val="nil"/>
            </w:tcBorders>
            <w:shd w:val="clear" w:color="000000" w:fill="FFFFFF"/>
            <w:noWrap/>
            <w:vAlign w:val="center"/>
            <w:hideMark/>
          </w:tcPr>
          <w:p w14:paraId="5437A86A"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72F7F178"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48191166"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+5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04BD56C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-0.354</w:t>
            </w:r>
          </w:p>
        </w:tc>
        <w:tc>
          <w:tcPr>
            <w:tcW w:w="245" w:type="dxa"/>
            <w:tcBorders>
              <w:top w:val="nil"/>
              <w:left w:val="nil"/>
              <w:bottom w:val="nil"/>
              <w:right w:val="single" w:sz="4" w:space="0" w:color="auto"/>
            </w:tcBorders>
            <w:shd w:val="clear" w:color="000000" w:fill="FFFFFF"/>
            <w:noWrap/>
            <w:vAlign w:val="center"/>
            <w:hideMark/>
          </w:tcPr>
          <w:p w14:paraId="6EB749F6"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089D669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-0.354</w:t>
            </w:r>
          </w:p>
        </w:tc>
        <w:tc>
          <w:tcPr>
            <w:tcW w:w="294" w:type="dxa"/>
            <w:tcBorders>
              <w:top w:val="nil"/>
              <w:left w:val="nil"/>
              <w:bottom w:val="nil"/>
              <w:right w:val="nil"/>
            </w:tcBorders>
            <w:shd w:val="clear" w:color="000000" w:fill="FFFFFF"/>
            <w:noWrap/>
            <w:vAlign w:val="center"/>
            <w:hideMark/>
          </w:tcPr>
          <w:p w14:paraId="197685CE"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0C3BEF9F" w14:textId="77777777" w:rsidTr="00526A59">
        <w:trPr>
          <w:trHeight w:val="320"/>
        </w:trPr>
        <w:tc>
          <w:tcPr>
            <w:tcW w:w="5734" w:type="dxa"/>
            <w:vMerge/>
            <w:tcBorders>
              <w:top w:val="nil"/>
              <w:left w:val="nil"/>
              <w:bottom w:val="nil"/>
              <w:right w:val="single" w:sz="4" w:space="0" w:color="auto"/>
            </w:tcBorders>
            <w:vAlign w:val="center"/>
            <w:hideMark/>
          </w:tcPr>
          <w:p w14:paraId="2CF78D4B"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FF4441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(0.027)</w:t>
            </w:r>
          </w:p>
        </w:tc>
        <w:tc>
          <w:tcPr>
            <w:tcW w:w="245" w:type="dxa"/>
            <w:tcBorders>
              <w:top w:val="nil"/>
              <w:left w:val="nil"/>
              <w:bottom w:val="nil"/>
              <w:right w:val="single" w:sz="4" w:space="0" w:color="auto"/>
            </w:tcBorders>
            <w:shd w:val="clear" w:color="000000" w:fill="FFFFFF"/>
            <w:noWrap/>
            <w:vAlign w:val="center"/>
            <w:hideMark/>
          </w:tcPr>
          <w:p w14:paraId="48E5425B"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E2F7DA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(0.027)</w:t>
            </w:r>
          </w:p>
        </w:tc>
        <w:tc>
          <w:tcPr>
            <w:tcW w:w="294" w:type="dxa"/>
            <w:tcBorders>
              <w:top w:val="nil"/>
              <w:left w:val="nil"/>
              <w:bottom w:val="nil"/>
              <w:right w:val="nil"/>
            </w:tcBorders>
            <w:shd w:val="clear" w:color="000000" w:fill="FFFFFF"/>
            <w:noWrap/>
            <w:vAlign w:val="center"/>
            <w:hideMark/>
          </w:tcPr>
          <w:p w14:paraId="1EF3DB9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3A21B515"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2647057"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+6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1236A1A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-0.404</w:t>
            </w:r>
          </w:p>
        </w:tc>
        <w:tc>
          <w:tcPr>
            <w:tcW w:w="245" w:type="dxa"/>
            <w:tcBorders>
              <w:top w:val="nil"/>
              <w:left w:val="nil"/>
              <w:bottom w:val="nil"/>
              <w:right w:val="single" w:sz="4" w:space="0" w:color="auto"/>
            </w:tcBorders>
            <w:shd w:val="clear" w:color="000000" w:fill="FFFFFF"/>
            <w:noWrap/>
            <w:vAlign w:val="center"/>
            <w:hideMark/>
          </w:tcPr>
          <w:p w14:paraId="54E57597"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01DCF27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-0.404</w:t>
            </w:r>
          </w:p>
        </w:tc>
        <w:tc>
          <w:tcPr>
            <w:tcW w:w="294" w:type="dxa"/>
            <w:tcBorders>
              <w:top w:val="nil"/>
              <w:left w:val="nil"/>
              <w:bottom w:val="nil"/>
              <w:right w:val="nil"/>
            </w:tcBorders>
            <w:shd w:val="clear" w:color="000000" w:fill="FFFFFF"/>
            <w:noWrap/>
            <w:vAlign w:val="center"/>
            <w:hideMark/>
          </w:tcPr>
          <w:p w14:paraId="144F1D3F"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3B451284" w14:textId="77777777" w:rsidTr="00526A59">
        <w:trPr>
          <w:trHeight w:val="320"/>
        </w:trPr>
        <w:tc>
          <w:tcPr>
            <w:tcW w:w="5734" w:type="dxa"/>
            <w:vMerge/>
            <w:tcBorders>
              <w:top w:val="nil"/>
              <w:left w:val="nil"/>
              <w:bottom w:val="nil"/>
              <w:right w:val="single" w:sz="4" w:space="0" w:color="auto"/>
            </w:tcBorders>
            <w:vAlign w:val="center"/>
            <w:hideMark/>
          </w:tcPr>
          <w:p w14:paraId="3A2CC424"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26D66E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(0.030)</w:t>
            </w:r>
          </w:p>
        </w:tc>
        <w:tc>
          <w:tcPr>
            <w:tcW w:w="245" w:type="dxa"/>
            <w:tcBorders>
              <w:top w:val="nil"/>
              <w:left w:val="nil"/>
              <w:bottom w:val="nil"/>
              <w:right w:val="single" w:sz="4" w:space="0" w:color="auto"/>
            </w:tcBorders>
            <w:shd w:val="clear" w:color="000000" w:fill="FFFFFF"/>
            <w:noWrap/>
            <w:vAlign w:val="center"/>
            <w:hideMark/>
          </w:tcPr>
          <w:p w14:paraId="1A1287BD"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3EE17E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(0.030)</w:t>
            </w:r>
          </w:p>
        </w:tc>
        <w:tc>
          <w:tcPr>
            <w:tcW w:w="294" w:type="dxa"/>
            <w:tcBorders>
              <w:top w:val="nil"/>
              <w:left w:val="nil"/>
              <w:bottom w:val="nil"/>
              <w:right w:val="nil"/>
            </w:tcBorders>
            <w:shd w:val="clear" w:color="000000" w:fill="FFFFFF"/>
            <w:noWrap/>
            <w:vAlign w:val="center"/>
            <w:hideMark/>
          </w:tcPr>
          <w:p w14:paraId="7016F1BF"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0732026"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63E41B9B"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+7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4103F85A"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-0.431</w:t>
            </w:r>
          </w:p>
        </w:tc>
        <w:tc>
          <w:tcPr>
            <w:tcW w:w="245" w:type="dxa"/>
            <w:tcBorders>
              <w:top w:val="nil"/>
              <w:left w:val="nil"/>
              <w:bottom w:val="nil"/>
              <w:right w:val="single" w:sz="4" w:space="0" w:color="auto"/>
            </w:tcBorders>
            <w:shd w:val="clear" w:color="000000" w:fill="FFFFFF"/>
            <w:noWrap/>
            <w:vAlign w:val="center"/>
            <w:hideMark/>
          </w:tcPr>
          <w:p w14:paraId="505B75E0"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FC602C4"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-0.431</w:t>
            </w:r>
          </w:p>
        </w:tc>
        <w:tc>
          <w:tcPr>
            <w:tcW w:w="294" w:type="dxa"/>
            <w:tcBorders>
              <w:top w:val="nil"/>
              <w:left w:val="nil"/>
              <w:bottom w:val="nil"/>
              <w:right w:val="nil"/>
            </w:tcBorders>
            <w:shd w:val="clear" w:color="000000" w:fill="FFFFFF"/>
            <w:noWrap/>
            <w:vAlign w:val="center"/>
            <w:hideMark/>
          </w:tcPr>
          <w:p w14:paraId="4A6504BA"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162BEC2A" w14:textId="77777777" w:rsidTr="00526A59">
        <w:trPr>
          <w:trHeight w:val="320"/>
        </w:trPr>
        <w:tc>
          <w:tcPr>
            <w:tcW w:w="5734" w:type="dxa"/>
            <w:vMerge/>
            <w:tcBorders>
              <w:top w:val="nil"/>
              <w:left w:val="nil"/>
              <w:bottom w:val="nil"/>
              <w:right w:val="single" w:sz="4" w:space="0" w:color="auto"/>
            </w:tcBorders>
            <w:vAlign w:val="center"/>
            <w:hideMark/>
          </w:tcPr>
          <w:p w14:paraId="7BA51DB4"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087182A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(0.031)</w:t>
            </w:r>
          </w:p>
        </w:tc>
        <w:tc>
          <w:tcPr>
            <w:tcW w:w="245" w:type="dxa"/>
            <w:tcBorders>
              <w:top w:val="nil"/>
              <w:left w:val="nil"/>
              <w:bottom w:val="nil"/>
              <w:right w:val="single" w:sz="4" w:space="0" w:color="auto"/>
            </w:tcBorders>
            <w:shd w:val="clear" w:color="000000" w:fill="FFFFFF"/>
            <w:noWrap/>
            <w:vAlign w:val="center"/>
            <w:hideMark/>
          </w:tcPr>
          <w:p w14:paraId="05AEB2C4"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A0CB81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(0.031)</w:t>
            </w:r>
          </w:p>
        </w:tc>
        <w:tc>
          <w:tcPr>
            <w:tcW w:w="294" w:type="dxa"/>
            <w:tcBorders>
              <w:top w:val="nil"/>
              <w:left w:val="nil"/>
              <w:bottom w:val="nil"/>
              <w:right w:val="nil"/>
            </w:tcBorders>
            <w:shd w:val="clear" w:color="000000" w:fill="FFFFFF"/>
            <w:noWrap/>
            <w:vAlign w:val="center"/>
            <w:hideMark/>
          </w:tcPr>
          <w:p w14:paraId="74FFD8C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6B9B87CC"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2E0FBEA2"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+8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2D11093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-0.449</w:t>
            </w:r>
          </w:p>
        </w:tc>
        <w:tc>
          <w:tcPr>
            <w:tcW w:w="245" w:type="dxa"/>
            <w:tcBorders>
              <w:top w:val="nil"/>
              <w:left w:val="nil"/>
              <w:bottom w:val="nil"/>
              <w:right w:val="single" w:sz="4" w:space="0" w:color="auto"/>
            </w:tcBorders>
            <w:shd w:val="clear" w:color="000000" w:fill="FFFFFF"/>
            <w:noWrap/>
            <w:vAlign w:val="center"/>
            <w:hideMark/>
          </w:tcPr>
          <w:p w14:paraId="019C78CD"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6AD30BD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-0.449</w:t>
            </w:r>
          </w:p>
        </w:tc>
        <w:tc>
          <w:tcPr>
            <w:tcW w:w="294" w:type="dxa"/>
            <w:tcBorders>
              <w:top w:val="nil"/>
              <w:left w:val="nil"/>
              <w:bottom w:val="nil"/>
              <w:right w:val="nil"/>
            </w:tcBorders>
            <w:shd w:val="clear" w:color="000000" w:fill="FFFFFF"/>
            <w:noWrap/>
            <w:vAlign w:val="center"/>
            <w:hideMark/>
          </w:tcPr>
          <w:p w14:paraId="3D79255F"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54C7B4BE" w14:textId="77777777" w:rsidTr="00526A59">
        <w:trPr>
          <w:trHeight w:val="320"/>
        </w:trPr>
        <w:tc>
          <w:tcPr>
            <w:tcW w:w="5734" w:type="dxa"/>
            <w:vMerge/>
            <w:tcBorders>
              <w:top w:val="nil"/>
              <w:left w:val="nil"/>
              <w:bottom w:val="nil"/>
              <w:right w:val="single" w:sz="4" w:space="0" w:color="auto"/>
            </w:tcBorders>
            <w:vAlign w:val="center"/>
            <w:hideMark/>
          </w:tcPr>
          <w:p w14:paraId="48B59897"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9ABBFE1"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(0.039)</w:t>
            </w:r>
          </w:p>
        </w:tc>
        <w:tc>
          <w:tcPr>
            <w:tcW w:w="245" w:type="dxa"/>
            <w:tcBorders>
              <w:top w:val="nil"/>
              <w:left w:val="nil"/>
              <w:bottom w:val="nil"/>
              <w:right w:val="single" w:sz="4" w:space="0" w:color="auto"/>
            </w:tcBorders>
            <w:shd w:val="clear" w:color="000000" w:fill="FFFFFF"/>
            <w:noWrap/>
            <w:vAlign w:val="center"/>
            <w:hideMark/>
          </w:tcPr>
          <w:p w14:paraId="4CED1193"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DC8118A"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(0.039)</w:t>
            </w:r>
          </w:p>
        </w:tc>
        <w:tc>
          <w:tcPr>
            <w:tcW w:w="294" w:type="dxa"/>
            <w:tcBorders>
              <w:top w:val="nil"/>
              <w:left w:val="nil"/>
              <w:bottom w:val="nil"/>
              <w:right w:val="nil"/>
            </w:tcBorders>
            <w:shd w:val="clear" w:color="000000" w:fill="FFFFFF"/>
            <w:noWrap/>
            <w:vAlign w:val="center"/>
            <w:hideMark/>
          </w:tcPr>
          <w:p w14:paraId="3F55AC8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3A658886"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0C6DBBBC"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+9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68C7E58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-0.496</w:t>
            </w:r>
          </w:p>
        </w:tc>
        <w:tc>
          <w:tcPr>
            <w:tcW w:w="245" w:type="dxa"/>
            <w:tcBorders>
              <w:top w:val="nil"/>
              <w:left w:val="nil"/>
              <w:bottom w:val="nil"/>
              <w:right w:val="single" w:sz="4" w:space="0" w:color="auto"/>
            </w:tcBorders>
            <w:shd w:val="clear" w:color="000000" w:fill="FFFFFF"/>
            <w:noWrap/>
            <w:vAlign w:val="center"/>
            <w:hideMark/>
          </w:tcPr>
          <w:p w14:paraId="57BE2C49"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35B5D319"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-0.496</w:t>
            </w:r>
          </w:p>
        </w:tc>
        <w:tc>
          <w:tcPr>
            <w:tcW w:w="294" w:type="dxa"/>
            <w:tcBorders>
              <w:top w:val="nil"/>
              <w:left w:val="nil"/>
              <w:bottom w:val="nil"/>
              <w:right w:val="nil"/>
            </w:tcBorders>
            <w:shd w:val="clear" w:color="000000" w:fill="FFFFFF"/>
            <w:noWrap/>
            <w:vAlign w:val="center"/>
            <w:hideMark/>
          </w:tcPr>
          <w:p w14:paraId="1B70331C"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5C66BDEA" w14:textId="77777777" w:rsidTr="00526A59">
        <w:trPr>
          <w:trHeight w:val="320"/>
        </w:trPr>
        <w:tc>
          <w:tcPr>
            <w:tcW w:w="5734" w:type="dxa"/>
            <w:vMerge/>
            <w:tcBorders>
              <w:top w:val="nil"/>
              <w:left w:val="nil"/>
              <w:bottom w:val="nil"/>
              <w:right w:val="single" w:sz="4" w:space="0" w:color="auto"/>
            </w:tcBorders>
            <w:vAlign w:val="center"/>
            <w:hideMark/>
          </w:tcPr>
          <w:p w14:paraId="64333DDE"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CD9488A"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(0.036)</w:t>
            </w:r>
          </w:p>
        </w:tc>
        <w:tc>
          <w:tcPr>
            <w:tcW w:w="245" w:type="dxa"/>
            <w:tcBorders>
              <w:top w:val="nil"/>
              <w:left w:val="nil"/>
              <w:bottom w:val="nil"/>
              <w:right w:val="single" w:sz="4" w:space="0" w:color="auto"/>
            </w:tcBorders>
            <w:shd w:val="clear" w:color="000000" w:fill="FFFFFF"/>
            <w:noWrap/>
            <w:vAlign w:val="center"/>
            <w:hideMark/>
          </w:tcPr>
          <w:p w14:paraId="56C09645"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551C17D"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(0.036)</w:t>
            </w:r>
          </w:p>
        </w:tc>
        <w:tc>
          <w:tcPr>
            <w:tcW w:w="294" w:type="dxa"/>
            <w:tcBorders>
              <w:top w:val="nil"/>
              <w:left w:val="nil"/>
              <w:bottom w:val="nil"/>
              <w:right w:val="nil"/>
            </w:tcBorders>
            <w:shd w:val="clear" w:color="000000" w:fill="FFFFFF"/>
            <w:noWrap/>
            <w:vAlign w:val="center"/>
            <w:hideMark/>
          </w:tcPr>
          <w:p w14:paraId="1C78ABE2"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6962EAB1"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6C90986A"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Coresidence</w:t>
            </w:r>
            <w:r w:rsidRPr="00526A59">
              <w:rPr>
                <w:rFonts w:ascii="Times New Roman" w:eastAsia="Times New Roman" w:hAnsi="Times New Roman" w:cs="Times New Roman"/>
                <w:sz w:val="24"/>
                <w:szCs w:val="24"/>
                <w:vertAlign w:val="subscript"/>
              </w:rPr>
              <w:t xml:space="preserve">≥10 </w:t>
            </w:r>
            <w:r w:rsidRPr="00526A59">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0234159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-0.719</w:t>
            </w:r>
          </w:p>
        </w:tc>
        <w:tc>
          <w:tcPr>
            <w:tcW w:w="245" w:type="dxa"/>
            <w:tcBorders>
              <w:top w:val="nil"/>
              <w:left w:val="nil"/>
              <w:bottom w:val="nil"/>
              <w:right w:val="single" w:sz="4" w:space="0" w:color="auto"/>
            </w:tcBorders>
            <w:shd w:val="clear" w:color="000000" w:fill="FFFFFF"/>
            <w:noWrap/>
            <w:vAlign w:val="center"/>
            <w:hideMark/>
          </w:tcPr>
          <w:p w14:paraId="232E12A9"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398EA31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-0.719</w:t>
            </w:r>
          </w:p>
        </w:tc>
        <w:tc>
          <w:tcPr>
            <w:tcW w:w="294" w:type="dxa"/>
            <w:tcBorders>
              <w:top w:val="nil"/>
              <w:left w:val="nil"/>
              <w:bottom w:val="nil"/>
              <w:right w:val="nil"/>
            </w:tcBorders>
            <w:shd w:val="clear" w:color="000000" w:fill="FFFFFF"/>
            <w:noWrap/>
            <w:vAlign w:val="center"/>
            <w:hideMark/>
          </w:tcPr>
          <w:p w14:paraId="30132443"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6D7188EF" w14:textId="77777777" w:rsidTr="00526A59">
        <w:trPr>
          <w:trHeight w:val="320"/>
        </w:trPr>
        <w:tc>
          <w:tcPr>
            <w:tcW w:w="5734" w:type="dxa"/>
            <w:vMerge/>
            <w:tcBorders>
              <w:top w:val="nil"/>
              <w:left w:val="nil"/>
              <w:bottom w:val="nil"/>
              <w:right w:val="single" w:sz="4" w:space="0" w:color="auto"/>
            </w:tcBorders>
            <w:vAlign w:val="center"/>
            <w:hideMark/>
          </w:tcPr>
          <w:p w14:paraId="12D265AA"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C92EAAC"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(0.024)</w:t>
            </w:r>
          </w:p>
        </w:tc>
        <w:tc>
          <w:tcPr>
            <w:tcW w:w="245" w:type="dxa"/>
            <w:tcBorders>
              <w:top w:val="nil"/>
              <w:left w:val="nil"/>
              <w:bottom w:val="nil"/>
              <w:right w:val="single" w:sz="4" w:space="0" w:color="auto"/>
            </w:tcBorders>
            <w:shd w:val="clear" w:color="000000" w:fill="FFFFFF"/>
            <w:noWrap/>
            <w:vAlign w:val="center"/>
            <w:hideMark/>
          </w:tcPr>
          <w:p w14:paraId="1B41A001"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FA3FFD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(0.024)</w:t>
            </w:r>
          </w:p>
        </w:tc>
        <w:tc>
          <w:tcPr>
            <w:tcW w:w="294" w:type="dxa"/>
            <w:tcBorders>
              <w:top w:val="nil"/>
              <w:left w:val="nil"/>
              <w:bottom w:val="nil"/>
              <w:right w:val="nil"/>
            </w:tcBorders>
            <w:shd w:val="clear" w:color="000000" w:fill="FFFFFF"/>
            <w:noWrap/>
            <w:vAlign w:val="center"/>
            <w:hideMark/>
          </w:tcPr>
          <w:p w14:paraId="119A746F"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2D4BF040"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379F2506"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Male Head of College</w:t>
            </w:r>
          </w:p>
        </w:tc>
        <w:tc>
          <w:tcPr>
            <w:tcW w:w="1234" w:type="dxa"/>
            <w:tcBorders>
              <w:top w:val="nil"/>
              <w:left w:val="nil"/>
              <w:bottom w:val="nil"/>
              <w:right w:val="nil"/>
            </w:tcBorders>
            <w:shd w:val="clear" w:color="000000" w:fill="FFFFFF"/>
            <w:noWrap/>
            <w:vAlign w:val="bottom"/>
            <w:hideMark/>
          </w:tcPr>
          <w:p w14:paraId="6F5C15B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-0.044</w:t>
            </w:r>
          </w:p>
        </w:tc>
        <w:tc>
          <w:tcPr>
            <w:tcW w:w="245" w:type="dxa"/>
            <w:tcBorders>
              <w:top w:val="nil"/>
              <w:left w:val="nil"/>
              <w:bottom w:val="nil"/>
              <w:right w:val="single" w:sz="4" w:space="0" w:color="auto"/>
            </w:tcBorders>
            <w:shd w:val="clear" w:color="000000" w:fill="FFFFFF"/>
            <w:noWrap/>
            <w:vAlign w:val="center"/>
            <w:hideMark/>
          </w:tcPr>
          <w:p w14:paraId="3ABB0D90"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35042AC0"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-0.044</w:t>
            </w:r>
          </w:p>
        </w:tc>
        <w:tc>
          <w:tcPr>
            <w:tcW w:w="294" w:type="dxa"/>
            <w:tcBorders>
              <w:top w:val="nil"/>
              <w:left w:val="nil"/>
              <w:bottom w:val="nil"/>
              <w:right w:val="nil"/>
            </w:tcBorders>
            <w:shd w:val="clear" w:color="000000" w:fill="FFFFFF"/>
            <w:noWrap/>
            <w:vAlign w:val="center"/>
            <w:hideMark/>
          </w:tcPr>
          <w:p w14:paraId="7BE8CEA1"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64570F0B" w14:textId="77777777" w:rsidTr="00526A59">
        <w:trPr>
          <w:trHeight w:val="320"/>
        </w:trPr>
        <w:tc>
          <w:tcPr>
            <w:tcW w:w="5734" w:type="dxa"/>
            <w:vMerge/>
            <w:tcBorders>
              <w:top w:val="nil"/>
              <w:left w:val="nil"/>
              <w:bottom w:val="nil"/>
              <w:right w:val="single" w:sz="4" w:space="0" w:color="auto"/>
            </w:tcBorders>
            <w:vAlign w:val="center"/>
            <w:hideMark/>
          </w:tcPr>
          <w:p w14:paraId="554C812B"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7304381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(0.010)</w:t>
            </w:r>
          </w:p>
        </w:tc>
        <w:tc>
          <w:tcPr>
            <w:tcW w:w="245" w:type="dxa"/>
            <w:tcBorders>
              <w:top w:val="nil"/>
              <w:left w:val="nil"/>
              <w:bottom w:val="nil"/>
              <w:right w:val="single" w:sz="4" w:space="0" w:color="auto"/>
            </w:tcBorders>
            <w:shd w:val="clear" w:color="000000" w:fill="FFFFFF"/>
            <w:noWrap/>
            <w:vAlign w:val="center"/>
            <w:hideMark/>
          </w:tcPr>
          <w:p w14:paraId="03E9CD84"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B7DE2BF"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(0.010)</w:t>
            </w:r>
          </w:p>
        </w:tc>
        <w:tc>
          <w:tcPr>
            <w:tcW w:w="294" w:type="dxa"/>
            <w:tcBorders>
              <w:top w:val="nil"/>
              <w:left w:val="nil"/>
              <w:bottom w:val="nil"/>
              <w:right w:val="nil"/>
            </w:tcBorders>
            <w:shd w:val="clear" w:color="000000" w:fill="FFFFFF"/>
            <w:noWrap/>
            <w:vAlign w:val="center"/>
            <w:hideMark/>
          </w:tcPr>
          <w:p w14:paraId="6770902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7864C597" w14:textId="77777777" w:rsidTr="00526A59">
        <w:trPr>
          <w:trHeight w:val="320"/>
        </w:trPr>
        <w:tc>
          <w:tcPr>
            <w:tcW w:w="5734" w:type="dxa"/>
            <w:vMerge w:val="restart"/>
            <w:tcBorders>
              <w:top w:val="nil"/>
              <w:left w:val="nil"/>
              <w:bottom w:val="nil"/>
              <w:right w:val="single" w:sz="4" w:space="0" w:color="auto"/>
            </w:tcBorders>
            <w:shd w:val="clear" w:color="000000" w:fill="FFFFFF"/>
            <w:vAlign w:val="center"/>
            <w:hideMark/>
          </w:tcPr>
          <w:p w14:paraId="7AE901E4"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Not coresident in 1974 x I(Year ≥ 1974)</w:t>
            </w:r>
          </w:p>
        </w:tc>
        <w:tc>
          <w:tcPr>
            <w:tcW w:w="1234" w:type="dxa"/>
            <w:tcBorders>
              <w:top w:val="nil"/>
              <w:left w:val="nil"/>
              <w:bottom w:val="nil"/>
              <w:right w:val="nil"/>
            </w:tcBorders>
            <w:shd w:val="clear" w:color="000000" w:fill="FFFFFF"/>
            <w:noWrap/>
            <w:vAlign w:val="bottom"/>
            <w:hideMark/>
          </w:tcPr>
          <w:p w14:paraId="57FA936B" w14:textId="77777777" w:rsidR="00526A59" w:rsidRPr="00526A59" w:rsidRDefault="00526A59" w:rsidP="00526A59">
            <w:pPr>
              <w:spacing w:after="0" w:line="240" w:lineRule="auto"/>
              <w:jc w:val="center"/>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 xml:space="preserve">                 -</w:t>
            </w:r>
          </w:p>
        </w:tc>
        <w:tc>
          <w:tcPr>
            <w:tcW w:w="245" w:type="dxa"/>
            <w:tcBorders>
              <w:top w:val="nil"/>
              <w:left w:val="nil"/>
              <w:bottom w:val="nil"/>
              <w:right w:val="single" w:sz="4" w:space="0" w:color="auto"/>
            </w:tcBorders>
            <w:shd w:val="clear" w:color="000000" w:fill="FFFFFF"/>
            <w:noWrap/>
            <w:vAlign w:val="center"/>
            <w:hideMark/>
          </w:tcPr>
          <w:p w14:paraId="42F658FF"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7FC10267"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0.031</w:t>
            </w:r>
          </w:p>
        </w:tc>
        <w:tc>
          <w:tcPr>
            <w:tcW w:w="294" w:type="dxa"/>
            <w:tcBorders>
              <w:top w:val="nil"/>
              <w:left w:val="nil"/>
              <w:bottom w:val="nil"/>
              <w:right w:val="nil"/>
            </w:tcBorders>
            <w:shd w:val="clear" w:color="000000" w:fill="FFFFFF"/>
            <w:noWrap/>
            <w:vAlign w:val="center"/>
            <w:hideMark/>
          </w:tcPr>
          <w:p w14:paraId="2A862C78"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23B213AF" w14:textId="77777777" w:rsidTr="00526A59">
        <w:trPr>
          <w:trHeight w:val="320"/>
        </w:trPr>
        <w:tc>
          <w:tcPr>
            <w:tcW w:w="5734" w:type="dxa"/>
            <w:vMerge/>
            <w:tcBorders>
              <w:top w:val="nil"/>
              <w:left w:val="nil"/>
              <w:bottom w:val="nil"/>
              <w:right w:val="single" w:sz="4" w:space="0" w:color="auto"/>
            </w:tcBorders>
            <w:vAlign w:val="center"/>
            <w:hideMark/>
          </w:tcPr>
          <w:p w14:paraId="4CFD356E"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8F7954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 </w:t>
            </w:r>
          </w:p>
        </w:tc>
        <w:tc>
          <w:tcPr>
            <w:tcW w:w="245" w:type="dxa"/>
            <w:tcBorders>
              <w:top w:val="nil"/>
              <w:left w:val="nil"/>
              <w:bottom w:val="nil"/>
              <w:right w:val="single" w:sz="4" w:space="0" w:color="auto"/>
            </w:tcBorders>
            <w:shd w:val="clear" w:color="000000" w:fill="FFFFFF"/>
            <w:noWrap/>
            <w:vAlign w:val="center"/>
            <w:hideMark/>
          </w:tcPr>
          <w:p w14:paraId="3D278ABB"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1020705"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(0.009)</w:t>
            </w:r>
          </w:p>
        </w:tc>
        <w:tc>
          <w:tcPr>
            <w:tcW w:w="294" w:type="dxa"/>
            <w:tcBorders>
              <w:top w:val="nil"/>
              <w:left w:val="nil"/>
              <w:bottom w:val="nil"/>
              <w:right w:val="nil"/>
            </w:tcBorders>
            <w:shd w:val="clear" w:color="000000" w:fill="FFFFFF"/>
            <w:noWrap/>
            <w:vAlign w:val="center"/>
            <w:hideMark/>
          </w:tcPr>
          <w:p w14:paraId="35D4118D"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09685AE8" w14:textId="77777777" w:rsidTr="00526A59">
        <w:trPr>
          <w:trHeight w:val="320"/>
        </w:trPr>
        <w:tc>
          <w:tcPr>
            <w:tcW w:w="5734" w:type="dxa"/>
            <w:vMerge w:val="restart"/>
            <w:tcBorders>
              <w:top w:val="nil"/>
              <w:left w:val="nil"/>
              <w:bottom w:val="single" w:sz="4" w:space="0" w:color="000000"/>
              <w:right w:val="single" w:sz="4" w:space="0" w:color="auto"/>
            </w:tcBorders>
            <w:shd w:val="clear" w:color="000000" w:fill="FFFFFF"/>
            <w:vAlign w:val="center"/>
            <w:hideMark/>
          </w:tcPr>
          <w:p w14:paraId="01A9E2AA"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Not coresident in 1974 x I(Year ≥ 1974)  × Originally Female College</w:t>
            </w:r>
          </w:p>
        </w:tc>
        <w:tc>
          <w:tcPr>
            <w:tcW w:w="1234" w:type="dxa"/>
            <w:tcBorders>
              <w:top w:val="nil"/>
              <w:left w:val="nil"/>
              <w:bottom w:val="nil"/>
              <w:right w:val="nil"/>
            </w:tcBorders>
            <w:shd w:val="clear" w:color="000000" w:fill="FFFFFF"/>
            <w:noWrap/>
            <w:vAlign w:val="bottom"/>
            <w:hideMark/>
          </w:tcPr>
          <w:p w14:paraId="6D694F2C" w14:textId="77777777" w:rsidR="00526A59" w:rsidRPr="00526A59" w:rsidRDefault="00526A59" w:rsidP="00526A59">
            <w:pPr>
              <w:spacing w:after="0" w:line="240" w:lineRule="auto"/>
              <w:jc w:val="center"/>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 xml:space="preserve">                 -</w:t>
            </w:r>
          </w:p>
        </w:tc>
        <w:tc>
          <w:tcPr>
            <w:tcW w:w="245" w:type="dxa"/>
            <w:tcBorders>
              <w:top w:val="nil"/>
              <w:left w:val="nil"/>
              <w:bottom w:val="nil"/>
              <w:right w:val="single" w:sz="4" w:space="0" w:color="auto"/>
            </w:tcBorders>
            <w:shd w:val="clear" w:color="000000" w:fill="FFFFFF"/>
            <w:noWrap/>
            <w:vAlign w:val="center"/>
            <w:hideMark/>
          </w:tcPr>
          <w:p w14:paraId="7C0F4CC2"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7200AAEE"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0.710</w:t>
            </w:r>
          </w:p>
        </w:tc>
        <w:tc>
          <w:tcPr>
            <w:tcW w:w="294" w:type="dxa"/>
            <w:tcBorders>
              <w:top w:val="nil"/>
              <w:left w:val="nil"/>
              <w:bottom w:val="nil"/>
              <w:right w:val="nil"/>
            </w:tcBorders>
            <w:shd w:val="clear" w:color="000000" w:fill="FFFFFF"/>
            <w:noWrap/>
            <w:vAlign w:val="center"/>
            <w:hideMark/>
          </w:tcPr>
          <w:p w14:paraId="1EAA616D" w14:textId="77777777" w:rsidR="00526A59" w:rsidRPr="00526A59" w:rsidRDefault="00526A59" w:rsidP="00526A59">
            <w:pPr>
              <w:spacing w:after="0" w:line="240" w:lineRule="auto"/>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vertAlign w:val="superscript"/>
              </w:rPr>
              <w:t>***</w:t>
            </w:r>
          </w:p>
        </w:tc>
      </w:tr>
      <w:tr w:rsidR="00526A59" w:rsidRPr="00526A59" w14:paraId="0458FB0B" w14:textId="77777777" w:rsidTr="00526A59">
        <w:trPr>
          <w:trHeight w:val="320"/>
        </w:trPr>
        <w:tc>
          <w:tcPr>
            <w:tcW w:w="5734" w:type="dxa"/>
            <w:vMerge/>
            <w:tcBorders>
              <w:top w:val="nil"/>
              <w:left w:val="nil"/>
              <w:bottom w:val="single" w:sz="4" w:space="0" w:color="000000"/>
              <w:right w:val="single" w:sz="4" w:space="0" w:color="auto"/>
            </w:tcBorders>
            <w:vAlign w:val="center"/>
            <w:hideMark/>
          </w:tcPr>
          <w:p w14:paraId="037434A0" w14:textId="77777777" w:rsidR="00526A59" w:rsidRPr="00526A59" w:rsidRDefault="00526A59" w:rsidP="00526A59">
            <w:pPr>
              <w:spacing w:after="0" w:line="240" w:lineRule="auto"/>
              <w:rPr>
                <w:rFonts w:ascii="Times New Roman" w:eastAsia="Times New Roman" w:hAnsi="Times New Roman" w:cs="Times New Roman"/>
                <w:sz w:val="24"/>
                <w:szCs w:val="24"/>
              </w:rPr>
            </w:pPr>
          </w:p>
        </w:tc>
        <w:tc>
          <w:tcPr>
            <w:tcW w:w="1234" w:type="dxa"/>
            <w:tcBorders>
              <w:top w:val="nil"/>
              <w:left w:val="nil"/>
              <w:bottom w:val="single" w:sz="4" w:space="0" w:color="auto"/>
              <w:right w:val="nil"/>
            </w:tcBorders>
            <w:shd w:val="clear" w:color="000000" w:fill="FFFFFF"/>
            <w:noWrap/>
            <w:vAlign w:val="bottom"/>
            <w:hideMark/>
          </w:tcPr>
          <w:p w14:paraId="1C139666"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 </w:t>
            </w:r>
          </w:p>
        </w:tc>
        <w:tc>
          <w:tcPr>
            <w:tcW w:w="245" w:type="dxa"/>
            <w:tcBorders>
              <w:top w:val="nil"/>
              <w:left w:val="nil"/>
              <w:bottom w:val="single" w:sz="4" w:space="0" w:color="auto"/>
              <w:right w:val="single" w:sz="4" w:space="0" w:color="auto"/>
            </w:tcBorders>
            <w:shd w:val="clear" w:color="000000" w:fill="FFFFFF"/>
            <w:noWrap/>
            <w:vAlign w:val="center"/>
            <w:hideMark/>
          </w:tcPr>
          <w:p w14:paraId="367D8A57"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c>
          <w:tcPr>
            <w:tcW w:w="953" w:type="dxa"/>
            <w:tcBorders>
              <w:top w:val="nil"/>
              <w:left w:val="nil"/>
              <w:bottom w:val="single" w:sz="4" w:space="0" w:color="auto"/>
              <w:right w:val="nil"/>
            </w:tcBorders>
            <w:shd w:val="clear" w:color="000000" w:fill="FFFFFF"/>
            <w:noWrap/>
            <w:vAlign w:val="bottom"/>
            <w:hideMark/>
          </w:tcPr>
          <w:p w14:paraId="093109CB" w14:textId="77777777" w:rsidR="00526A59" w:rsidRPr="00526A59" w:rsidRDefault="00526A59" w:rsidP="00526A59">
            <w:pPr>
              <w:spacing w:after="0" w:line="240" w:lineRule="auto"/>
              <w:jc w:val="right"/>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(0.024)</w:t>
            </w:r>
          </w:p>
        </w:tc>
        <w:tc>
          <w:tcPr>
            <w:tcW w:w="294" w:type="dxa"/>
            <w:tcBorders>
              <w:top w:val="nil"/>
              <w:left w:val="nil"/>
              <w:bottom w:val="single" w:sz="4" w:space="0" w:color="auto"/>
              <w:right w:val="nil"/>
            </w:tcBorders>
            <w:shd w:val="clear" w:color="000000" w:fill="FFFFFF"/>
            <w:noWrap/>
            <w:vAlign w:val="center"/>
            <w:hideMark/>
          </w:tcPr>
          <w:p w14:paraId="39517096" w14:textId="77777777" w:rsidR="00526A59" w:rsidRPr="00526A59" w:rsidRDefault="00526A59" w:rsidP="00526A59">
            <w:pPr>
              <w:spacing w:after="0" w:line="240" w:lineRule="auto"/>
              <w:jc w:val="center"/>
              <w:rPr>
                <w:rFonts w:ascii="Times New Roman" w:eastAsia="Times New Roman" w:hAnsi="Times New Roman" w:cs="Times New Roman"/>
                <w:sz w:val="20"/>
                <w:szCs w:val="20"/>
              </w:rPr>
            </w:pPr>
            <w:r w:rsidRPr="00526A59">
              <w:rPr>
                <w:rFonts w:ascii="Times New Roman" w:eastAsia="Times New Roman" w:hAnsi="Times New Roman" w:cs="Times New Roman"/>
                <w:sz w:val="20"/>
                <w:szCs w:val="20"/>
              </w:rPr>
              <w:t> </w:t>
            </w:r>
          </w:p>
        </w:tc>
      </w:tr>
      <w:tr w:rsidR="00526A59" w:rsidRPr="00526A59" w14:paraId="74F6B956" w14:textId="77777777" w:rsidTr="00526A59">
        <w:trPr>
          <w:trHeight w:val="340"/>
        </w:trPr>
        <w:tc>
          <w:tcPr>
            <w:tcW w:w="5734" w:type="dxa"/>
            <w:tcBorders>
              <w:top w:val="nil"/>
              <w:left w:val="nil"/>
              <w:bottom w:val="double" w:sz="6" w:space="0" w:color="auto"/>
              <w:right w:val="single" w:sz="4" w:space="0" w:color="auto"/>
            </w:tcBorders>
            <w:shd w:val="clear" w:color="auto" w:fill="auto"/>
            <w:noWrap/>
            <w:vAlign w:val="center"/>
            <w:hideMark/>
          </w:tcPr>
          <w:p w14:paraId="64A39296" w14:textId="77777777" w:rsidR="00526A59" w:rsidRPr="00526A59" w:rsidRDefault="00526A59" w:rsidP="00526A59">
            <w:pPr>
              <w:spacing w:after="0" w:line="240" w:lineRule="auto"/>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R-squared</w:t>
            </w:r>
          </w:p>
        </w:tc>
        <w:tc>
          <w:tcPr>
            <w:tcW w:w="1479" w:type="dxa"/>
            <w:gridSpan w:val="2"/>
            <w:tcBorders>
              <w:top w:val="nil"/>
              <w:left w:val="nil"/>
              <w:bottom w:val="double" w:sz="6" w:space="0" w:color="auto"/>
              <w:right w:val="nil"/>
            </w:tcBorders>
            <w:shd w:val="clear" w:color="000000" w:fill="FFFFFF"/>
            <w:noWrap/>
            <w:vAlign w:val="bottom"/>
            <w:hideMark/>
          </w:tcPr>
          <w:p w14:paraId="723B6A2B" w14:textId="77777777" w:rsidR="00526A59" w:rsidRPr="00526A59" w:rsidRDefault="00526A59" w:rsidP="00526A59">
            <w:pPr>
              <w:spacing w:after="0" w:line="240" w:lineRule="auto"/>
              <w:jc w:val="center"/>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0.9605</w:t>
            </w:r>
          </w:p>
        </w:tc>
        <w:tc>
          <w:tcPr>
            <w:tcW w:w="1247" w:type="dxa"/>
            <w:gridSpan w:val="2"/>
            <w:tcBorders>
              <w:top w:val="nil"/>
              <w:left w:val="nil"/>
              <w:bottom w:val="double" w:sz="6" w:space="0" w:color="auto"/>
              <w:right w:val="nil"/>
            </w:tcBorders>
            <w:shd w:val="clear" w:color="000000" w:fill="FFFFFF"/>
            <w:noWrap/>
            <w:vAlign w:val="bottom"/>
            <w:hideMark/>
          </w:tcPr>
          <w:p w14:paraId="6C64E01D" w14:textId="77777777" w:rsidR="00526A59" w:rsidRPr="00526A59" w:rsidRDefault="00526A59" w:rsidP="00526A59">
            <w:pPr>
              <w:spacing w:after="0" w:line="240" w:lineRule="auto"/>
              <w:jc w:val="center"/>
              <w:rPr>
                <w:rFonts w:ascii="Times New Roman" w:eastAsia="Times New Roman" w:hAnsi="Times New Roman" w:cs="Times New Roman"/>
                <w:sz w:val="24"/>
                <w:szCs w:val="24"/>
              </w:rPr>
            </w:pPr>
            <w:r w:rsidRPr="00526A59">
              <w:rPr>
                <w:rFonts w:ascii="Times New Roman" w:eastAsia="Times New Roman" w:hAnsi="Times New Roman" w:cs="Times New Roman"/>
                <w:sz w:val="24"/>
                <w:szCs w:val="24"/>
              </w:rPr>
              <w:t>0.9605</w:t>
            </w:r>
          </w:p>
        </w:tc>
      </w:tr>
      <w:tr w:rsidR="00526A59" w:rsidRPr="00526A59" w14:paraId="4A285157" w14:textId="77777777" w:rsidTr="00526A59">
        <w:trPr>
          <w:trHeight w:val="320"/>
        </w:trPr>
        <w:tc>
          <w:tcPr>
            <w:tcW w:w="8460" w:type="dxa"/>
            <w:gridSpan w:val="5"/>
            <w:vMerge w:val="restart"/>
            <w:tcBorders>
              <w:top w:val="double" w:sz="6" w:space="0" w:color="auto"/>
              <w:left w:val="nil"/>
              <w:bottom w:val="nil"/>
              <w:right w:val="nil"/>
            </w:tcBorders>
            <w:shd w:val="clear" w:color="auto" w:fill="auto"/>
            <w:vAlign w:val="bottom"/>
            <w:hideMark/>
          </w:tcPr>
          <w:p w14:paraId="3830FB60" w14:textId="77777777" w:rsidR="00526A59" w:rsidRPr="00526A59" w:rsidRDefault="00526A59" w:rsidP="00526A59">
            <w:pPr>
              <w:spacing w:after="0" w:line="240" w:lineRule="auto"/>
              <w:rPr>
                <w:rFonts w:ascii="Calibri" w:eastAsia="Times New Roman" w:hAnsi="Calibri" w:cs="Times New Roman"/>
                <w:color w:val="000000"/>
              </w:rPr>
            </w:pPr>
            <w:r w:rsidRPr="00526A59">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r w:rsidR="00526A59" w:rsidRPr="00526A59" w14:paraId="36CEA10B" w14:textId="77777777" w:rsidTr="00526A59">
        <w:trPr>
          <w:trHeight w:val="860"/>
        </w:trPr>
        <w:tc>
          <w:tcPr>
            <w:tcW w:w="8460" w:type="dxa"/>
            <w:gridSpan w:val="5"/>
            <w:vMerge/>
            <w:tcBorders>
              <w:top w:val="double" w:sz="6" w:space="0" w:color="auto"/>
              <w:left w:val="nil"/>
              <w:bottom w:val="nil"/>
              <w:right w:val="nil"/>
            </w:tcBorders>
            <w:vAlign w:val="center"/>
            <w:hideMark/>
          </w:tcPr>
          <w:p w14:paraId="07C54AAE" w14:textId="77777777" w:rsidR="00526A59" w:rsidRPr="00526A59" w:rsidRDefault="00526A59" w:rsidP="00526A59">
            <w:pPr>
              <w:spacing w:after="0" w:line="240" w:lineRule="auto"/>
              <w:rPr>
                <w:rFonts w:ascii="Calibri" w:eastAsia="Times New Roman" w:hAnsi="Calibri" w:cs="Times New Roman"/>
                <w:color w:val="000000"/>
              </w:rPr>
            </w:pPr>
          </w:p>
        </w:tc>
      </w:tr>
    </w:tbl>
    <w:p w14:paraId="2C0B35F4" w14:textId="54A8125B" w:rsidR="00526A59" w:rsidRDefault="00526A59"/>
    <w:p w14:paraId="02C88A2C" w14:textId="579CF1BC" w:rsidR="00AF6572" w:rsidRDefault="00526A59">
      <w:r>
        <w:br w:type="page"/>
      </w:r>
    </w:p>
    <w:tbl>
      <w:tblPr>
        <w:tblW w:w="8140" w:type="dxa"/>
        <w:tblLook w:val="04A0" w:firstRow="1" w:lastRow="0" w:firstColumn="1" w:lastColumn="0" w:noHBand="0" w:noVBand="1"/>
      </w:tblPr>
      <w:tblGrid>
        <w:gridCol w:w="5809"/>
        <w:gridCol w:w="916"/>
        <w:gridCol w:w="411"/>
        <w:gridCol w:w="916"/>
        <w:gridCol w:w="411"/>
      </w:tblGrid>
      <w:tr w:rsidR="00AF6572" w:rsidRPr="00312C08" w14:paraId="7EC7B0FF" w14:textId="77777777" w:rsidTr="00953A15">
        <w:trPr>
          <w:trHeight w:val="320"/>
        </w:trPr>
        <w:tc>
          <w:tcPr>
            <w:tcW w:w="8140" w:type="dxa"/>
            <w:gridSpan w:val="5"/>
            <w:tcBorders>
              <w:top w:val="nil"/>
              <w:left w:val="nil"/>
              <w:bottom w:val="nil"/>
              <w:right w:val="nil"/>
            </w:tcBorders>
            <w:shd w:val="clear" w:color="000000" w:fill="FFFFFF"/>
            <w:vAlign w:val="bottom"/>
            <w:hideMark/>
          </w:tcPr>
          <w:p w14:paraId="62695AA7" w14:textId="5909658E" w:rsidR="00AF6572" w:rsidRPr="00312C08" w:rsidRDefault="00AF6572" w:rsidP="00AF65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5</w:t>
            </w:r>
          </w:p>
        </w:tc>
      </w:tr>
      <w:tr w:rsidR="00AF6572" w:rsidRPr="00312C08" w14:paraId="5BBBF7EC" w14:textId="77777777" w:rsidTr="00953A15">
        <w:trPr>
          <w:trHeight w:val="320"/>
        </w:trPr>
        <w:tc>
          <w:tcPr>
            <w:tcW w:w="8140" w:type="dxa"/>
            <w:gridSpan w:val="5"/>
            <w:tcBorders>
              <w:top w:val="nil"/>
              <w:left w:val="nil"/>
              <w:bottom w:val="single" w:sz="4" w:space="0" w:color="auto"/>
              <w:right w:val="nil"/>
            </w:tcBorders>
            <w:shd w:val="clear" w:color="000000" w:fill="FFFFFF"/>
            <w:vAlign w:val="bottom"/>
            <w:hideMark/>
          </w:tcPr>
          <w:p w14:paraId="4DDE1442" w14:textId="77777777" w:rsidR="00AF6572" w:rsidRPr="00312C08" w:rsidRDefault="00AF6572" w:rsidP="00953A15">
            <w:pPr>
              <w:spacing w:after="0" w:line="240" w:lineRule="auto"/>
              <w:jc w:val="center"/>
              <w:rPr>
                <w:rFonts w:ascii="Times New Roman" w:eastAsia="Times New Roman" w:hAnsi="Times New Roman" w:cs="Times New Roman"/>
                <w:b/>
                <w:bCs/>
                <w:sz w:val="24"/>
                <w:szCs w:val="24"/>
              </w:rPr>
            </w:pPr>
            <w:r w:rsidRPr="00312C08">
              <w:rPr>
                <w:rFonts w:ascii="Times New Roman" w:eastAsia="Times New Roman" w:hAnsi="Times New Roman" w:cs="Times New Roman"/>
                <w:b/>
                <w:bCs/>
                <w:sz w:val="24"/>
                <w:szCs w:val="24"/>
              </w:rPr>
              <w:t>Linear Regression Estimates of Determinates of Norrington Rankings</w:t>
            </w:r>
          </w:p>
        </w:tc>
      </w:tr>
      <w:tr w:rsidR="00AF6572" w:rsidRPr="00312C08" w14:paraId="793DD49E" w14:textId="77777777" w:rsidTr="00953A15">
        <w:trPr>
          <w:trHeight w:val="340"/>
        </w:trPr>
        <w:tc>
          <w:tcPr>
            <w:tcW w:w="5809" w:type="dxa"/>
            <w:tcBorders>
              <w:top w:val="nil"/>
              <w:left w:val="nil"/>
              <w:bottom w:val="double" w:sz="6" w:space="0" w:color="auto"/>
              <w:right w:val="single" w:sz="4" w:space="0" w:color="auto"/>
            </w:tcBorders>
            <w:shd w:val="clear" w:color="000000" w:fill="FFFFFF"/>
            <w:noWrap/>
            <w:vAlign w:val="bottom"/>
            <w:hideMark/>
          </w:tcPr>
          <w:p w14:paraId="552311AB" w14:textId="77777777" w:rsidR="00AF6572" w:rsidRPr="00312C08" w:rsidRDefault="00AF6572" w:rsidP="00953A15">
            <w:pPr>
              <w:spacing w:after="0" w:line="240" w:lineRule="auto"/>
              <w:rPr>
                <w:rFonts w:ascii="Times New Roman" w:eastAsia="Times New Roman" w:hAnsi="Times New Roman" w:cs="Times New Roman"/>
                <w:b/>
                <w:bCs/>
                <w:sz w:val="24"/>
                <w:szCs w:val="24"/>
              </w:rPr>
            </w:pPr>
            <w:r w:rsidRPr="00312C08">
              <w:rPr>
                <w:rFonts w:ascii="Times New Roman" w:eastAsia="Times New Roman" w:hAnsi="Times New Roman" w:cs="Times New Roman"/>
                <w:b/>
                <w:bCs/>
                <w:sz w:val="24"/>
                <w:szCs w:val="24"/>
              </w:rPr>
              <w:t xml:space="preserve">Variable </w:t>
            </w:r>
          </w:p>
        </w:tc>
        <w:tc>
          <w:tcPr>
            <w:tcW w:w="1168" w:type="dxa"/>
            <w:gridSpan w:val="2"/>
            <w:tcBorders>
              <w:top w:val="single" w:sz="4" w:space="0" w:color="auto"/>
              <w:left w:val="nil"/>
              <w:bottom w:val="double" w:sz="6" w:space="0" w:color="auto"/>
              <w:right w:val="single" w:sz="4" w:space="0" w:color="000000"/>
            </w:tcBorders>
            <w:shd w:val="clear" w:color="000000" w:fill="FFFFFF"/>
            <w:vAlign w:val="bottom"/>
            <w:hideMark/>
          </w:tcPr>
          <w:p w14:paraId="3D69AD68" w14:textId="77777777" w:rsidR="00AF6572" w:rsidRPr="00312C08" w:rsidRDefault="00AF6572" w:rsidP="00953A15">
            <w:pPr>
              <w:spacing w:after="0" w:line="240" w:lineRule="auto"/>
              <w:jc w:val="center"/>
              <w:rPr>
                <w:rFonts w:ascii="Times New Roman" w:eastAsia="Times New Roman" w:hAnsi="Times New Roman" w:cs="Times New Roman"/>
                <w:b/>
                <w:bCs/>
                <w:color w:val="000000"/>
                <w:sz w:val="24"/>
                <w:szCs w:val="24"/>
              </w:rPr>
            </w:pPr>
            <w:r w:rsidRPr="00312C08">
              <w:rPr>
                <w:rFonts w:ascii="Times New Roman" w:eastAsia="Times New Roman" w:hAnsi="Times New Roman" w:cs="Times New Roman"/>
                <w:b/>
                <w:bCs/>
                <w:color w:val="000000"/>
                <w:sz w:val="24"/>
                <w:szCs w:val="24"/>
              </w:rPr>
              <w:t>(1)</w:t>
            </w:r>
          </w:p>
        </w:tc>
        <w:tc>
          <w:tcPr>
            <w:tcW w:w="1163" w:type="dxa"/>
            <w:gridSpan w:val="2"/>
            <w:tcBorders>
              <w:top w:val="nil"/>
              <w:left w:val="nil"/>
              <w:bottom w:val="double" w:sz="6" w:space="0" w:color="auto"/>
              <w:right w:val="single" w:sz="4" w:space="0" w:color="FFFFFF"/>
            </w:tcBorders>
            <w:shd w:val="clear" w:color="000000" w:fill="FFFFFF"/>
            <w:vAlign w:val="bottom"/>
            <w:hideMark/>
          </w:tcPr>
          <w:p w14:paraId="1A2E31EB" w14:textId="77777777" w:rsidR="00AF6572" w:rsidRPr="00312C08" w:rsidRDefault="00AF6572" w:rsidP="00953A15">
            <w:pPr>
              <w:spacing w:after="0" w:line="240" w:lineRule="auto"/>
              <w:jc w:val="center"/>
              <w:rPr>
                <w:rFonts w:ascii="Times New Roman" w:eastAsia="Times New Roman" w:hAnsi="Times New Roman" w:cs="Times New Roman"/>
                <w:b/>
                <w:bCs/>
                <w:color w:val="000000"/>
                <w:sz w:val="24"/>
                <w:szCs w:val="24"/>
              </w:rPr>
            </w:pPr>
            <w:r w:rsidRPr="00312C08">
              <w:rPr>
                <w:rFonts w:ascii="Times New Roman" w:eastAsia="Times New Roman" w:hAnsi="Times New Roman" w:cs="Times New Roman"/>
                <w:b/>
                <w:bCs/>
                <w:color w:val="000000"/>
                <w:sz w:val="24"/>
                <w:szCs w:val="24"/>
              </w:rPr>
              <w:t>(2)</w:t>
            </w:r>
          </w:p>
        </w:tc>
      </w:tr>
      <w:tr w:rsidR="00AF6572" w:rsidRPr="00312C08" w14:paraId="4459367D" w14:textId="77777777" w:rsidTr="00953A15">
        <w:trPr>
          <w:trHeight w:val="380"/>
        </w:trPr>
        <w:tc>
          <w:tcPr>
            <w:tcW w:w="5809" w:type="dxa"/>
            <w:vMerge w:val="restart"/>
            <w:tcBorders>
              <w:top w:val="nil"/>
              <w:left w:val="nil"/>
              <w:bottom w:val="nil"/>
              <w:right w:val="single" w:sz="4" w:space="0" w:color="auto"/>
            </w:tcBorders>
            <w:shd w:val="clear" w:color="FFF58C" w:fill="FFFFFF"/>
            <w:noWrap/>
            <w:vAlign w:val="center"/>
            <w:hideMark/>
          </w:tcPr>
          <w:p w14:paraId="54129FD8" w14:textId="77777777" w:rsidR="00AF6572" w:rsidRPr="00312C08" w:rsidRDefault="00AF6572" w:rsidP="00953A15">
            <w:pPr>
              <w:spacing w:after="0" w:line="240" w:lineRule="auto"/>
              <w:rPr>
                <w:rFonts w:ascii="Times New Roman" w:eastAsia="Times New Roman" w:hAnsi="Times New Roman" w:cs="Times New Roman"/>
                <w:color w:val="000000"/>
                <w:sz w:val="24"/>
                <w:szCs w:val="24"/>
              </w:rPr>
            </w:pPr>
            <w:r w:rsidRPr="00312C08">
              <w:rPr>
                <w:rFonts w:ascii="Times New Roman" w:eastAsia="Times New Roman" w:hAnsi="Times New Roman" w:cs="Times New Roman"/>
                <w:color w:val="000000"/>
                <w:sz w:val="24"/>
                <w:szCs w:val="24"/>
              </w:rPr>
              <w:t>Percent Female Faculty</w:t>
            </w:r>
          </w:p>
        </w:tc>
        <w:tc>
          <w:tcPr>
            <w:tcW w:w="904" w:type="dxa"/>
            <w:tcBorders>
              <w:top w:val="nil"/>
              <w:left w:val="nil"/>
              <w:bottom w:val="nil"/>
              <w:right w:val="nil"/>
            </w:tcBorders>
            <w:shd w:val="clear" w:color="000000" w:fill="FFFFFF"/>
            <w:noWrap/>
            <w:vAlign w:val="bottom"/>
            <w:hideMark/>
          </w:tcPr>
          <w:p w14:paraId="698AF16A"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-3.254</w:t>
            </w:r>
          </w:p>
        </w:tc>
        <w:tc>
          <w:tcPr>
            <w:tcW w:w="264" w:type="dxa"/>
            <w:tcBorders>
              <w:top w:val="nil"/>
              <w:left w:val="nil"/>
              <w:bottom w:val="nil"/>
              <w:right w:val="single" w:sz="4" w:space="0" w:color="auto"/>
            </w:tcBorders>
            <w:shd w:val="clear" w:color="000000" w:fill="FFFFFF"/>
            <w:noWrap/>
            <w:vAlign w:val="center"/>
            <w:hideMark/>
          </w:tcPr>
          <w:p w14:paraId="125C6872"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xml:space="preserve">   </w:t>
            </w:r>
          </w:p>
        </w:tc>
        <w:tc>
          <w:tcPr>
            <w:tcW w:w="889" w:type="dxa"/>
            <w:tcBorders>
              <w:top w:val="nil"/>
              <w:left w:val="nil"/>
              <w:bottom w:val="nil"/>
              <w:right w:val="nil"/>
            </w:tcBorders>
            <w:shd w:val="clear" w:color="000000" w:fill="FFFFFF"/>
            <w:noWrap/>
            <w:vAlign w:val="bottom"/>
            <w:hideMark/>
          </w:tcPr>
          <w:p w14:paraId="7E1F9755"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-2.193</w:t>
            </w:r>
          </w:p>
        </w:tc>
        <w:tc>
          <w:tcPr>
            <w:tcW w:w="274" w:type="dxa"/>
            <w:tcBorders>
              <w:top w:val="nil"/>
              <w:left w:val="nil"/>
              <w:bottom w:val="nil"/>
              <w:right w:val="nil"/>
            </w:tcBorders>
            <w:shd w:val="clear" w:color="000000" w:fill="FFFFFF"/>
            <w:noWrap/>
            <w:vAlign w:val="center"/>
            <w:hideMark/>
          </w:tcPr>
          <w:p w14:paraId="1CFD8161"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xml:space="preserve">   </w:t>
            </w:r>
          </w:p>
        </w:tc>
      </w:tr>
      <w:tr w:rsidR="00AF6572" w:rsidRPr="00312C08" w14:paraId="0C9E84D1" w14:textId="77777777" w:rsidTr="00953A15">
        <w:trPr>
          <w:trHeight w:val="320"/>
        </w:trPr>
        <w:tc>
          <w:tcPr>
            <w:tcW w:w="5809" w:type="dxa"/>
            <w:vMerge/>
            <w:tcBorders>
              <w:top w:val="nil"/>
              <w:left w:val="nil"/>
              <w:bottom w:val="nil"/>
              <w:right w:val="single" w:sz="4" w:space="0" w:color="auto"/>
            </w:tcBorders>
            <w:vAlign w:val="center"/>
            <w:hideMark/>
          </w:tcPr>
          <w:p w14:paraId="2D8C217E" w14:textId="77777777" w:rsidR="00AF6572" w:rsidRPr="00312C08" w:rsidRDefault="00AF6572" w:rsidP="00953A15">
            <w:pPr>
              <w:spacing w:after="0" w:line="240" w:lineRule="auto"/>
              <w:rPr>
                <w:rFonts w:ascii="Times New Roman" w:eastAsia="Times New Roman" w:hAnsi="Times New Roman" w:cs="Times New Roman"/>
                <w:color w:val="000000"/>
                <w:sz w:val="24"/>
                <w:szCs w:val="24"/>
              </w:rPr>
            </w:pPr>
          </w:p>
        </w:tc>
        <w:tc>
          <w:tcPr>
            <w:tcW w:w="904" w:type="dxa"/>
            <w:tcBorders>
              <w:top w:val="nil"/>
              <w:left w:val="nil"/>
              <w:bottom w:val="nil"/>
              <w:right w:val="nil"/>
            </w:tcBorders>
            <w:shd w:val="clear" w:color="000000" w:fill="FFFFFF"/>
            <w:noWrap/>
            <w:vAlign w:val="bottom"/>
            <w:hideMark/>
          </w:tcPr>
          <w:p w14:paraId="73EDAE92"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(2.412)</w:t>
            </w:r>
          </w:p>
        </w:tc>
        <w:tc>
          <w:tcPr>
            <w:tcW w:w="264" w:type="dxa"/>
            <w:tcBorders>
              <w:top w:val="nil"/>
              <w:left w:val="nil"/>
              <w:bottom w:val="nil"/>
              <w:right w:val="single" w:sz="4" w:space="0" w:color="auto"/>
            </w:tcBorders>
            <w:shd w:val="clear" w:color="000000" w:fill="FFFFFF"/>
            <w:noWrap/>
            <w:vAlign w:val="center"/>
            <w:hideMark/>
          </w:tcPr>
          <w:p w14:paraId="004F020A" w14:textId="77777777" w:rsidR="00AF6572" w:rsidRPr="00312C08" w:rsidRDefault="00AF6572" w:rsidP="00953A15">
            <w:pPr>
              <w:spacing w:after="0" w:line="240" w:lineRule="auto"/>
              <w:jc w:val="center"/>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rPr>
              <w:t> </w:t>
            </w:r>
          </w:p>
        </w:tc>
        <w:tc>
          <w:tcPr>
            <w:tcW w:w="889" w:type="dxa"/>
            <w:tcBorders>
              <w:top w:val="nil"/>
              <w:left w:val="nil"/>
              <w:bottom w:val="nil"/>
              <w:right w:val="nil"/>
            </w:tcBorders>
            <w:shd w:val="clear" w:color="000000" w:fill="FFFFFF"/>
            <w:noWrap/>
            <w:vAlign w:val="bottom"/>
            <w:hideMark/>
          </w:tcPr>
          <w:p w14:paraId="720DFBCB"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(2.445)</w:t>
            </w:r>
          </w:p>
        </w:tc>
        <w:tc>
          <w:tcPr>
            <w:tcW w:w="274" w:type="dxa"/>
            <w:tcBorders>
              <w:top w:val="nil"/>
              <w:left w:val="nil"/>
              <w:bottom w:val="nil"/>
              <w:right w:val="nil"/>
            </w:tcBorders>
            <w:shd w:val="clear" w:color="000000" w:fill="FFFFFF"/>
            <w:noWrap/>
            <w:vAlign w:val="center"/>
            <w:hideMark/>
          </w:tcPr>
          <w:p w14:paraId="1D818380"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w:t>
            </w:r>
          </w:p>
        </w:tc>
      </w:tr>
      <w:tr w:rsidR="00AF6572" w:rsidRPr="00312C08" w14:paraId="0ED564D9" w14:textId="77777777" w:rsidTr="00953A15">
        <w:trPr>
          <w:trHeight w:val="320"/>
        </w:trPr>
        <w:tc>
          <w:tcPr>
            <w:tcW w:w="5809" w:type="dxa"/>
            <w:vMerge w:val="restart"/>
            <w:tcBorders>
              <w:top w:val="nil"/>
              <w:left w:val="nil"/>
              <w:bottom w:val="nil"/>
              <w:right w:val="single" w:sz="4" w:space="0" w:color="auto"/>
            </w:tcBorders>
            <w:shd w:val="clear" w:color="000000" w:fill="FFFFFF"/>
            <w:vAlign w:val="center"/>
            <w:hideMark/>
          </w:tcPr>
          <w:p w14:paraId="385A0C0F"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Coresidence</w:t>
            </w:r>
          </w:p>
        </w:tc>
        <w:tc>
          <w:tcPr>
            <w:tcW w:w="904" w:type="dxa"/>
            <w:tcBorders>
              <w:top w:val="nil"/>
              <w:left w:val="nil"/>
              <w:bottom w:val="nil"/>
              <w:right w:val="nil"/>
            </w:tcBorders>
            <w:shd w:val="clear" w:color="000000" w:fill="FFFFFF"/>
            <w:noWrap/>
            <w:vAlign w:val="bottom"/>
            <w:hideMark/>
          </w:tcPr>
          <w:p w14:paraId="718D75E3"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-4.976</w:t>
            </w:r>
          </w:p>
        </w:tc>
        <w:tc>
          <w:tcPr>
            <w:tcW w:w="264" w:type="dxa"/>
            <w:tcBorders>
              <w:top w:val="nil"/>
              <w:left w:val="nil"/>
              <w:bottom w:val="nil"/>
              <w:right w:val="single" w:sz="4" w:space="0" w:color="auto"/>
            </w:tcBorders>
            <w:shd w:val="clear" w:color="000000" w:fill="FFFFFF"/>
            <w:noWrap/>
            <w:vAlign w:val="center"/>
            <w:hideMark/>
          </w:tcPr>
          <w:p w14:paraId="5AF06885"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w:t>
            </w:r>
          </w:p>
        </w:tc>
        <w:tc>
          <w:tcPr>
            <w:tcW w:w="889" w:type="dxa"/>
            <w:tcBorders>
              <w:top w:val="nil"/>
              <w:left w:val="nil"/>
              <w:bottom w:val="nil"/>
              <w:right w:val="nil"/>
            </w:tcBorders>
            <w:shd w:val="clear" w:color="000000" w:fill="FFFFFF"/>
            <w:noWrap/>
            <w:vAlign w:val="bottom"/>
            <w:hideMark/>
          </w:tcPr>
          <w:p w14:paraId="53E69540"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-3.094</w:t>
            </w:r>
          </w:p>
        </w:tc>
        <w:tc>
          <w:tcPr>
            <w:tcW w:w="274" w:type="dxa"/>
            <w:tcBorders>
              <w:top w:val="nil"/>
              <w:left w:val="nil"/>
              <w:bottom w:val="nil"/>
              <w:right w:val="nil"/>
            </w:tcBorders>
            <w:shd w:val="clear" w:color="000000" w:fill="FFFFFF"/>
            <w:noWrap/>
            <w:vAlign w:val="center"/>
            <w:hideMark/>
          </w:tcPr>
          <w:p w14:paraId="4FF89769"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w:t>
            </w:r>
          </w:p>
        </w:tc>
      </w:tr>
      <w:tr w:rsidR="00AF6572" w:rsidRPr="00312C08" w14:paraId="06CF0B9E" w14:textId="77777777" w:rsidTr="00953A15">
        <w:trPr>
          <w:trHeight w:val="320"/>
        </w:trPr>
        <w:tc>
          <w:tcPr>
            <w:tcW w:w="5809" w:type="dxa"/>
            <w:vMerge/>
            <w:tcBorders>
              <w:top w:val="nil"/>
              <w:left w:val="nil"/>
              <w:bottom w:val="nil"/>
              <w:right w:val="single" w:sz="4" w:space="0" w:color="auto"/>
            </w:tcBorders>
            <w:vAlign w:val="center"/>
            <w:hideMark/>
          </w:tcPr>
          <w:p w14:paraId="2B8A9A2C" w14:textId="77777777" w:rsidR="00AF6572" w:rsidRPr="00312C08" w:rsidRDefault="00AF6572" w:rsidP="00953A15">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7F494C71"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(1.172)</w:t>
            </w:r>
          </w:p>
        </w:tc>
        <w:tc>
          <w:tcPr>
            <w:tcW w:w="264" w:type="dxa"/>
            <w:tcBorders>
              <w:top w:val="nil"/>
              <w:left w:val="nil"/>
              <w:bottom w:val="nil"/>
              <w:right w:val="single" w:sz="4" w:space="0" w:color="auto"/>
            </w:tcBorders>
            <w:shd w:val="clear" w:color="000000" w:fill="FFFFFF"/>
            <w:noWrap/>
            <w:vAlign w:val="center"/>
            <w:hideMark/>
          </w:tcPr>
          <w:p w14:paraId="3A068FAD" w14:textId="77777777" w:rsidR="00AF6572" w:rsidRPr="00312C08" w:rsidRDefault="00AF6572" w:rsidP="00953A15">
            <w:pPr>
              <w:spacing w:after="0" w:line="240" w:lineRule="auto"/>
              <w:jc w:val="center"/>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rPr>
              <w:t> </w:t>
            </w:r>
          </w:p>
        </w:tc>
        <w:tc>
          <w:tcPr>
            <w:tcW w:w="889" w:type="dxa"/>
            <w:tcBorders>
              <w:top w:val="nil"/>
              <w:left w:val="nil"/>
              <w:bottom w:val="nil"/>
              <w:right w:val="nil"/>
            </w:tcBorders>
            <w:shd w:val="clear" w:color="000000" w:fill="FFFFFF"/>
            <w:noWrap/>
            <w:vAlign w:val="bottom"/>
            <w:hideMark/>
          </w:tcPr>
          <w:p w14:paraId="28C2A6CE"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(1.264)</w:t>
            </w:r>
          </w:p>
        </w:tc>
        <w:tc>
          <w:tcPr>
            <w:tcW w:w="274" w:type="dxa"/>
            <w:tcBorders>
              <w:top w:val="nil"/>
              <w:left w:val="nil"/>
              <w:bottom w:val="nil"/>
              <w:right w:val="nil"/>
            </w:tcBorders>
            <w:shd w:val="clear" w:color="000000" w:fill="FFFFFF"/>
            <w:noWrap/>
            <w:vAlign w:val="center"/>
            <w:hideMark/>
          </w:tcPr>
          <w:p w14:paraId="4E860733"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r>
      <w:tr w:rsidR="00AF6572" w:rsidRPr="00312C08" w14:paraId="3FEBD70F" w14:textId="77777777" w:rsidTr="00953A15">
        <w:trPr>
          <w:trHeight w:val="320"/>
        </w:trPr>
        <w:tc>
          <w:tcPr>
            <w:tcW w:w="5809" w:type="dxa"/>
            <w:vMerge w:val="restart"/>
            <w:tcBorders>
              <w:top w:val="nil"/>
              <w:left w:val="nil"/>
              <w:bottom w:val="nil"/>
              <w:right w:val="single" w:sz="4" w:space="0" w:color="auto"/>
            </w:tcBorders>
            <w:shd w:val="clear" w:color="000000" w:fill="FFFFFF"/>
            <w:vAlign w:val="center"/>
            <w:hideMark/>
          </w:tcPr>
          <w:p w14:paraId="4FFD68F1"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Coresidence × Originally Female College</w:t>
            </w:r>
          </w:p>
        </w:tc>
        <w:tc>
          <w:tcPr>
            <w:tcW w:w="904" w:type="dxa"/>
            <w:tcBorders>
              <w:top w:val="nil"/>
              <w:left w:val="nil"/>
              <w:bottom w:val="nil"/>
              <w:right w:val="nil"/>
            </w:tcBorders>
            <w:shd w:val="clear" w:color="000000" w:fill="FFFFFF"/>
            <w:noWrap/>
            <w:vAlign w:val="bottom"/>
            <w:hideMark/>
          </w:tcPr>
          <w:p w14:paraId="47AFB666"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4.907</w:t>
            </w:r>
          </w:p>
        </w:tc>
        <w:tc>
          <w:tcPr>
            <w:tcW w:w="264" w:type="dxa"/>
            <w:tcBorders>
              <w:top w:val="nil"/>
              <w:left w:val="nil"/>
              <w:bottom w:val="nil"/>
              <w:right w:val="single" w:sz="4" w:space="0" w:color="auto"/>
            </w:tcBorders>
            <w:shd w:val="clear" w:color="000000" w:fill="FFFFFF"/>
            <w:noWrap/>
            <w:vAlign w:val="center"/>
            <w:hideMark/>
          </w:tcPr>
          <w:p w14:paraId="3AF54085"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w:t>
            </w:r>
          </w:p>
        </w:tc>
        <w:tc>
          <w:tcPr>
            <w:tcW w:w="889" w:type="dxa"/>
            <w:tcBorders>
              <w:top w:val="nil"/>
              <w:left w:val="nil"/>
              <w:bottom w:val="nil"/>
              <w:right w:val="nil"/>
            </w:tcBorders>
            <w:shd w:val="clear" w:color="000000" w:fill="FFFFFF"/>
            <w:noWrap/>
            <w:vAlign w:val="bottom"/>
            <w:hideMark/>
          </w:tcPr>
          <w:p w14:paraId="6DB90382"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2.440</w:t>
            </w:r>
          </w:p>
        </w:tc>
        <w:tc>
          <w:tcPr>
            <w:tcW w:w="274" w:type="dxa"/>
            <w:tcBorders>
              <w:top w:val="nil"/>
              <w:left w:val="nil"/>
              <w:bottom w:val="nil"/>
              <w:right w:val="nil"/>
            </w:tcBorders>
            <w:shd w:val="clear" w:color="000000" w:fill="FFFFFF"/>
            <w:noWrap/>
            <w:vAlign w:val="center"/>
            <w:hideMark/>
          </w:tcPr>
          <w:p w14:paraId="6DC88038"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xml:space="preserve">   </w:t>
            </w:r>
          </w:p>
        </w:tc>
      </w:tr>
      <w:tr w:rsidR="00AF6572" w:rsidRPr="00312C08" w14:paraId="1E194106" w14:textId="77777777" w:rsidTr="00953A15">
        <w:trPr>
          <w:trHeight w:val="320"/>
        </w:trPr>
        <w:tc>
          <w:tcPr>
            <w:tcW w:w="5809" w:type="dxa"/>
            <w:vMerge/>
            <w:tcBorders>
              <w:top w:val="nil"/>
              <w:left w:val="nil"/>
              <w:bottom w:val="nil"/>
              <w:right w:val="single" w:sz="4" w:space="0" w:color="auto"/>
            </w:tcBorders>
            <w:vAlign w:val="center"/>
            <w:hideMark/>
          </w:tcPr>
          <w:p w14:paraId="55A637E2" w14:textId="77777777" w:rsidR="00AF6572" w:rsidRPr="00312C08" w:rsidRDefault="00AF6572" w:rsidP="00953A15">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64BAC658"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(1.974)</w:t>
            </w:r>
          </w:p>
        </w:tc>
        <w:tc>
          <w:tcPr>
            <w:tcW w:w="264" w:type="dxa"/>
            <w:tcBorders>
              <w:top w:val="nil"/>
              <w:left w:val="nil"/>
              <w:bottom w:val="nil"/>
              <w:right w:val="single" w:sz="4" w:space="0" w:color="auto"/>
            </w:tcBorders>
            <w:shd w:val="clear" w:color="000000" w:fill="FFFFFF"/>
            <w:noWrap/>
            <w:vAlign w:val="center"/>
            <w:hideMark/>
          </w:tcPr>
          <w:p w14:paraId="6C5817BA"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0A931AC8"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(2.065)</w:t>
            </w:r>
          </w:p>
        </w:tc>
        <w:tc>
          <w:tcPr>
            <w:tcW w:w="274" w:type="dxa"/>
            <w:tcBorders>
              <w:top w:val="nil"/>
              <w:left w:val="nil"/>
              <w:bottom w:val="nil"/>
              <w:right w:val="nil"/>
            </w:tcBorders>
            <w:shd w:val="clear" w:color="000000" w:fill="FFFFFF"/>
            <w:noWrap/>
            <w:vAlign w:val="center"/>
            <w:hideMark/>
          </w:tcPr>
          <w:p w14:paraId="487726D3"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r>
      <w:tr w:rsidR="00AF6572" w:rsidRPr="00312C08" w14:paraId="141C7F47" w14:textId="77777777" w:rsidTr="00953A15">
        <w:trPr>
          <w:trHeight w:val="320"/>
        </w:trPr>
        <w:tc>
          <w:tcPr>
            <w:tcW w:w="5809" w:type="dxa"/>
            <w:vMerge w:val="restart"/>
            <w:tcBorders>
              <w:top w:val="nil"/>
              <w:left w:val="nil"/>
              <w:bottom w:val="nil"/>
              <w:right w:val="single" w:sz="4" w:space="0" w:color="auto"/>
            </w:tcBorders>
            <w:shd w:val="clear" w:color="000000" w:fill="FFFFFF"/>
            <w:vAlign w:val="center"/>
            <w:hideMark/>
          </w:tcPr>
          <w:p w14:paraId="49E04AE3"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Male Head of College</w:t>
            </w:r>
          </w:p>
        </w:tc>
        <w:tc>
          <w:tcPr>
            <w:tcW w:w="904" w:type="dxa"/>
            <w:tcBorders>
              <w:top w:val="nil"/>
              <w:left w:val="nil"/>
              <w:bottom w:val="nil"/>
              <w:right w:val="nil"/>
            </w:tcBorders>
            <w:shd w:val="clear" w:color="000000" w:fill="FFFFFF"/>
            <w:noWrap/>
            <w:vAlign w:val="bottom"/>
            <w:hideMark/>
          </w:tcPr>
          <w:p w14:paraId="3CA5B9C9"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-1.137</w:t>
            </w:r>
          </w:p>
        </w:tc>
        <w:tc>
          <w:tcPr>
            <w:tcW w:w="264" w:type="dxa"/>
            <w:tcBorders>
              <w:top w:val="nil"/>
              <w:left w:val="nil"/>
              <w:bottom w:val="nil"/>
              <w:right w:val="single" w:sz="4" w:space="0" w:color="auto"/>
            </w:tcBorders>
            <w:shd w:val="clear" w:color="000000" w:fill="FFFFFF"/>
            <w:noWrap/>
            <w:vAlign w:val="center"/>
            <w:hideMark/>
          </w:tcPr>
          <w:p w14:paraId="3CD52D42"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xml:space="preserve">   </w:t>
            </w:r>
          </w:p>
        </w:tc>
        <w:tc>
          <w:tcPr>
            <w:tcW w:w="889" w:type="dxa"/>
            <w:tcBorders>
              <w:top w:val="nil"/>
              <w:left w:val="nil"/>
              <w:bottom w:val="nil"/>
              <w:right w:val="nil"/>
            </w:tcBorders>
            <w:shd w:val="clear" w:color="000000" w:fill="FFFFFF"/>
            <w:noWrap/>
            <w:vAlign w:val="bottom"/>
            <w:hideMark/>
          </w:tcPr>
          <w:p w14:paraId="593623A1"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-1.006</w:t>
            </w:r>
          </w:p>
        </w:tc>
        <w:tc>
          <w:tcPr>
            <w:tcW w:w="274" w:type="dxa"/>
            <w:tcBorders>
              <w:top w:val="nil"/>
              <w:left w:val="nil"/>
              <w:bottom w:val="nil"/>
              <w:right w:val="nil"/>
            </w:tcBorders>
            <w:shd w:val="clear" w:color="000000" w:fill="FFFFFF"/>
            <w:noWrap/>
            <w:vAlign w:val="center"/>
            <w:hideMark/>
          </w:tcPr>
          <w:p w14:paraId="0D01AB7D"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xml:space="preserve">   </w:t>
            </w:r>
          </w:p>
        </w:tc>
      </w:tr>
      <w:tr w:rsidR="00AF6572" w:rsidRPr="00312C08" w14:paraId="31BF318E" w14:textId="77777777" w:rsidTr="00953A15">
        <w:trPr>
          <w:trHeight w:val="320"/>
        </w:trPr>
        <w:tc>
          <w:tcPr>
            <w:tcW w:w="5809" w:type="dxa"/>
            <w:vMerge/>
            <w:tcBorders>
              <w:top w:val="nil"/>
              <w:left w:val="nil"/>
              <w:bottom w:val="nil"/>
              <w:right w:val="single" w:sz="4" w:space="0" w:color="auto"/>
            </w:tcBorders>
            <w:vAlign w:val="center"/>
            <w:hideMark/>
          </w:tcPr>
          <w:p w14:paraId="244B885B" w14:textId="77777777" w:rsidR="00AF6572" w:rsidRPr="00312C08" w:rsidRDefault="00AF6572" w:rsidP="00953A15">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00BAE26E"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(0.804)</w:t>
            </w:r>
          </w:p>
        </w:tc>
        <w:tc>
          <w:tcPr>
            <w:tcW w:w="264" w:type="dxa"/>
            <w:tcBorders>
              <w:top w:val="nil"/>
              <w:left w:val="nil"/>
              <w:bottom w:val="nil"/>
              <w:right w:val="single" w:sz="4" w:space="0" w:color="auto"/>
            </w:tcBorders>
            <w:shd w:val="clear" w:color="000000" w:fill="FFFFFF"/>
            <w:noWrap/>
            <w:vAlign w:val="center"/>
            <w:hideMark/>
          </w:tcPr>
          <w:p w14:paraId="1C8D417F"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72166D11"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(0.807)</w:t>
            </w:r>
          </w:p>
        </w:tc>
        <w:tc>
          <w:tcPr>
            <w:tcW w:w="274" w:type="dxa"/>
            <w:tcBorders>
              <w:top w:val="nil"/>
              <w:left w:val="nil"/>
              <w:bottom w:val="nil"/>
              <w:right w:val="nil"/>
            </w:tcBorders>
            <w:shd w:val="clear" w:color="000000" w:fill="FFFFFF"/>
            <w:noWrap/>
            <w:vAlign w:val="center"/>
            <w:hideMark/>
          </w:tcPr>
          <w:p w14:paraId="616318E7"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r>
      <w:tr w:rsidR="00AF6572" w:rsidRPr="00312C08" w14:paraId="500B35C5" w14:textId="77777777" w:rsidTr="00953A15">
        <w:trPr>
          <w:trHeight w:val="360"/>
        </w:trPr>
        <w:tc>
          <w:tcPr>
            <w:tcW w:w="5809" w:type="dxa"/>
            <w:vMerge w:val="restart"/>
            <w:tcBorders>
              <w:top w:val="nil"/>
              <w:left w:val="nil"/>
              <w:bottom w:val="nil"/>
              <w:right w:val="single" w:sz="4" w:space="0" w:color="auto"/>
            </w:tcBorders>
            <w:shd w:val="clear" w:color="000000" w:fill="FFFFFF"/>
            <w:vAlign w:val="center"/>
            <w:hideMark/>
          </w:tcPr>
          <w:p w14:paraId="0EDCF40C"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Not coresident in 1974 x I(Year ≥ 1974)</w:t>
            </w:r>
          </w:p>
        </w:tc>
        <w:tc>
          <w:tcPr>
            <w:tcW w:w="904" w:type="dxa"/>
            <w:tcBorders>
              <w:top w:val="nil"/>
              <w:left w:val="nil"/>
              <w:bottom w:val="nil"/>
              <w:right w:val="nil"/>
            </w:tcBorders>
            <w:shd w:val="clear" w:color="000000" w:fill="FFFFFF"/>
            <w:noWrap/>
            <w:vAlign w:val="bottom"/>
            <w:hideMark/>
          </w:tcPr>
          <w:p w14:paraId="4D8B3392" w14:textId="77777777" w:rsidR="00AF6572" w:rsidRPr="00312C08" w:rsidRDefault="00AF6572" w:rsidP="00953A15">
            <w:pPr>
              <w:spacing w:after="0" w:line="240" w:lineRule="auto"/>
              <w:jc w:val="center"/>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xml:space="preserve">           -</w:t>
            </w:r>
          </w:p>
        </w:tc>
        <w:tc>
          <w:tcPr>
            <w:tcW w:w="264" w:type="dxa"/>
            <w:tcBorders>
              <w:top w:val="nil"/>
              <w:left w:val="nil"/>
              <w:bottom w:val="nil"/>
              <w:right w:val="single" w:sz="4" w:space="0" w:color="auto"/>
            </w:tcBorders>
            <w:shd w:val="clear" w:color="000000" w:fill="FFFFFF"/>
            <w:noWrap/>
            <w:vAlign w:val="center"/>
            <w:hideMark/>
          </w:tcPr>
          <w:p w14:paraId="70463F41"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w:t>
            </w:r>
          </w:p>
        </w:tc>
        <w:tc>
          <w:tcPr>
            <w:tcW w:w="889" w:type="dxa"/>
            <w:tcBorders>
              <w:top w:val="nil"/>
              <w:left w:val="nil"/>
              <w:bottom w:val="nil"/>
              <w:right w:val="nil"/>
            </w:tcBorders>
            <w:shd w:val="clear" w:color="000000" w:fill="FFFFFF"/>
            <w:noWrap/>
            <w:vAlign w:val="bottom"/>
            <w:hideMark/>
          </w:tcPr>
          <w:p w14:paraId="51F58AF0"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1.933</w:t>
            </w:r>
          </w:p>
        </w:tc>
        <w:tc>
          <w:tcPr>
            <w:tcW w:w="274" w:type="dxa"/>
            <w:tcBorders>
              <w:top w:val="nil"/>
              <w:left w:val="nil"/>
              <w:bottom w:val="nil"/>
              <w:right w:val="nil"/>
            </w:tcBorders>
            <w:shd w:val="clear" w:color="000000" w:fill="FFFFFF"/>
            <w:noWrap/>
            <w:vAlign w:val="center"/>
            <w:hideMark/>
          </w:tcPr>
          <w:p w14:paraId="53DFE96F"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xml:space="preserve">   </w:t>
            </w:r>
          </w:p>
        </w:tc>
      </w:tr>
      <w:tr w:rsidR="00AF6572" w:rsidRPr="00312C08" w14:paraId="60411995" w14:textId="77777777" w:rsidTr="00953A15">
        <w:trPr>
          <w:trHeight w:val="360"/>
        </w:trPr>
        <w:tc>
          <w:tcPr>
            <w:tcW w:w="5809" w:type="dxa"/>
            <w:vMerge/>
            <w:tcBorders>
              <w:top w:val="nil"/>
              <w:left w:val="nil"/>
              <w:bottom w:val="nil"/>
              <w:right w:val="single" w:sz="4" w:space="0" w:color="auto"/>
            </w:tcBorders>
            <w:vAlign w:val="center"/>
            <w:hideMark/>
          </w:tcPr>
          <w:p w14:paraId="591A965D" w14:textId="77777777" w:rsidR="00AF6572" w:rsidRPr="00312C08" w:rsidRDefault="00AF6572" w:rsidP="00953A15">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6C0758C8"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w:t>
            </w:r>
          </w:p>
        </w:tc>
        <w:tc>
          <w:tcPr>
            <w:tcW w:w="264" w:type="dxa"/>
            <w:tcBorders>
              <w:top w:val="nil"/>
              <w:left w:val="nil"/>
              <w:bottom w:val="nil"/>
              <w:right w:val="single" w:sz="4" w:space="0" w:color="auto"/>
            </w:tcBorders>
            <w:shd w:val="clear" w:color="000000" w:fill="FFFFFF"/>
            <w:noWrap/>
            <w:vAlign w:val="center"/>
            <w:hideMark/>
          </w:tcPr>
          <w:p w14:paraId="70E5D92E"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w:t>
            </w:r>
          </w:p>
        </w:tc>
        <w:tc>
          <w:tcPr>
            <w:tcW w:w="889" w:type="dxa"/>
            <w:tcBorders>
              <w:top w:val="nil"/>
              <w:left w:val="nil"/>
              <w:bottom w:val="nil"/>
              <w:right w:val="nil"/>
            </w:tcBorders>
            <w:shd w:val="clear" w:color="000000" w:fill="FFFFFF"/>
            <w:noWrap/>
            <w:vAlign w:val="bottom"/>
            <w:hideMark/>
          </w:tcPr>
          <w:p w14:paraId="3CC9A289"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(1.845)</w:t>
            </w:r>
          </w:p>
        </w:tc>
        <w:tc>
          <w:tcPr>
            <w:tcW w:w="274" w:type="dxa"/>
            <w:tcBorders>
              <w:top w:val="nil"/>
              <w:left w:val="nil"/>
              <w:bottom w:val="nil"/>
              <w:right w:val="nil"/>
            </w:tcBorders>
            <w:shd w:val="clear" w:color="000000" w:fill="FFFFFF"/>
            <w:noWrap/>
            <w:vAlign w:val="center"/>
            <w:hideMark/>
          </w:tcPr>
          <w:p w14:paraId="1E6D401B"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 </w:t>
            </w:r>
          </w:p>
        </w:tc>
      </w:tr>
      <w:tr w:rsidR="00AF6572" w:rsidRPr="00312C08" w14:paraId="5E3E267A" w14:textId="77777777" w:rsidTr="00953A15">
        <w:trPr>
          <w:trHeight w:val="380"/>
        </w:trPr>
        <w:tc>
          <w:tcPr>
            <w:tcW w:w="5809" w:type="dxa"/>
            <w:vMerge w:val="restart"/>
            <w:tcBorders>
              <w:top w:val="nil"/>
              <w:left w:val="nil"/>
              <w:bottom w:val="single" w:sz="4" w:space="0" w:color="000000"/>
              <w:right w:val="single" w:sz="4" w:space="0" w:color="auto"/>
            </w:tcBorders>
            <w:shd w:val="clear" w:color="000000" w:fill="FFFFFF"/>
            <w:vAlign w:val="center"/>
            <w:hideMark/>
          </w:tcPr>
          <w:p w14:paraId="3C7F57CC"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Not coresident in 1974 x I(Year ≥ 1974)  × Originally Female College</w:t>
            </w:r>
          </w:p>
        </w:tc>
        <w:tc>
          <w:tcPr>
            <w:tcW w:w="904" w:type="dxa"/>
            <w:tcBorders>
              <w:top w:val="nil"/>
              <w:left w:val="nil"/>
              <w:bottom w:val="nil"/>
              <w:right w:val="nil"/>
            </w:tcBorders>
            <w:shd w:val="clear" w:color="000000" w:fill="FFFFFF"/>
            <w:noWrap/>
            <w:vAlign w:val="bottom"/>
            <w:hideMark/>
          </w:tcPr>
          <w:p w14:paraId="7C5811CF" w14:textId="77777777" w:rsidR="00AF6572" w:rsidRPr="00312C08" w:rsidRDefault="00AF6572" w:rsidP="00953A15">
            <w:pPr>
              <w:spacing w:after="0" w:line="240" w:lineRule="auto"/>
              <w:jc w:val="center"/>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xml:space="preserve">           -</w:t>
            </w:r>
          </w:p>
        </w:tc>
        <w:tc>
          <w:tcPr>
            <w:tcW w:w="264" w:type="dxa"/>
            <w:tcBorders>
              <w:top w:val="nil"/>
              <w:left w:val="nil"/>
              <w:bottom w:val="nil"/>
              <w:right w:val="single" w:sz="4" w:space="0" w:color="auto"/>
            </w:tcBorders>
            <w:shd w:val="clear" w:color="000000" w:fill="FFFFFF"/>
            <w:noWrap/>
            <w:vAlign w:val="center"/>
            <w:hideMark/>
          </w:tcPr>
          <w:p w14:paraId="59B03732"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w:t>
            </w:r>
          </w:p>
        </w:tc>
        <w:tc>
          <w:tcPr>
            <w:tcW w:w="889" w:type="dxa"/>
            <w:tcBorders>
              <w:top w:val="nil"/>
              <w:left w:val="nil"/>
              <w:bottom w:val="nil"/>
              <w:right w:val="nil"/>
            </w:tcBorders>
            <w:shd w:val="clear" w:color="000000" w:fill="FFFFFF"/>
            <w:noWrap/>
            <w:vAlign w:val="bottom"/>
            <w:hideMark/>
          </w:tcPr>
          <w:p w14:paraId="584262E3"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6.855</w:t>
            </w:r>
          </w:p>
        </w:tc>
        <w:tc>
          <w:tcPr>
            <w:tcW w:w="274" w:type="dxa"/>
            <w:tcBorders>
              <w:top w:val="nil"/>
              <w:left w:val="nil"/>
              <w:bottom w:val="nil"/>
              <w:right w:val="nil"/>
            </w:tcBorders>
            <w:shd w:val="clear" w:color="000000" w:fill="FFFFFF"/>
            <w:noWrap/>
            <w:vAlign w:val="center"/>
            <w:hideMark/>
          </w:tcPr>
          <w:p w14:paraId="05D8839F" w14:textId="77777777" w:rsidR="00AF6572" w:rsidRPr="00312C08" w:rsidRDefault="00AF6572" w:rsidP="00953A15">
            <w:pPr>
              <w:spacing w:after="0" w:line="240" w:lineRule="auto"/>
              <w:rPr>
                <w:rFonts w:ascii="Times New Roman" w:eastAsia="Times New Roman" w:hAnsi="Times New Roman" w:cs="Times New Roman"/>
                <w:sz w:val="20"/>
                <w:szCs w:val="20"/>
              </w:rPr>
            </w:pPr>
            <w:r w:rsidRPr="00312C08">
              <w:rPr>
                <w:rFonts w:ascii="Times New Roman" w:eastAsia="Times New Roman" w:hAnsi="Times New Roman" w:cs="Times New Roman"/>
                <w:sz w:val="20"/>
                <w:szCs w:val="20"/>
                <w:vertAlign w:val="superscript"/>
              </w:rPr>
              <w:t>***</w:t>
            </w:r>
          </w:p>
        </w:tc>
      </w:tr>
      <w:tr w:rsidR="00AF6572" w:rsidRPr="00312C08" w14:paraId="0D111D32" w14:textId="77777777" w:rsidTr="00953A15">
        <w:trPr>
          <w:trHeight w:val="380"/>
        </w:trPr>
        <w:tc>
          <w:tcPr>
            <w:tcW w:w="5809" w:type="dxa"/>
            <w:vMerge/>
            <w:tcBorders>
              <w:top w:val="nil"/>
              <w:left w:val="nil"/>
              <w:bottom w:val="single" w:sz="4" w:space="0" w:color="000000"/>
              <w:right w:val="single" w:sz="4" w:space="0" w:color="auto"/>
            </w:tcBorders>
            <w:vAlign w:val="center"/>
            <w:hideMark/>
          </w:tcPr>
          <w:p w14:paraId="11570D9C" w14:textId="77777777" w:rsidR="00AF6572" w:rsidRPr="00312C08" w:rsidRDefault="00AF6572" w:rsidP="00953A15">
            <w:pPr>
              <w:spacing w:after="0" w:line="240" w:lineRule="auto"/>
              <w:rPr>
                <w:rFonts w:ascii="Times New Roman" w:eastAsia="Times New Roman" w:hAnsi="Times New Roman" w:cs="Times New Roman"/>
                <w:sz w:val="24"/>
                <w:szCs w:val="24"/>
              </w:rPr>
            </w:pPr>
          </w:p>
        </w:tc>
        <w:tc>
          <w:tcPr>
            <w:tcW w:w="904" w:type="dxa"/>
            <w:tcBorders>
              <w:top w:val="nil"/>
              <w:left w:val="nil"/>
              <w:bottom w:val="single" w:sz="4" w:space="0" w:color="auto"/>
              <w:right w:val="nil"/>
            </w:tcBorders>
            <w:shd w:val="clear" w:color="000000" w:fill="FFFFFF"/>
            <w:noWrap/>
            <w:vAlign w:val="bottom"/>
            <w:hideMark/>
          </w:tcPr>
          <w:p w14:paraId="53B1D3BE"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w:t>
            </w:r>
          </w:p>
        </w:tc>
        <w:tc>
          <w:tcPr>
            <w:tcW w:w="264" w:type="dxa"/>
            <w:tcBorders>
              <w:top w:val="nil"/>
              <w:left w:val="nil"/>
              <w:bottom w:val="single" w:sz="4" w:space="0" w:color="auto"/>
              <w:right w:val="single" w:sz="4" w:space="0" w:color="auto"/>
            </w:tcBorders>
            <w:shd w:val="clear" w:color="000000" w:fill="FFFFFF"/>
            <w:noWrap/>
            <w:vAlign w:val="center"/>
            <w:hideMark/>
          </w:tcPr>
          <w:p w14:paraId="6814F118"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w:t>
            </w:r>
          </w:p>
        </w:tc>
        <w:tc>
          <w:tcPr>
            <w:tcW w:w="889" w:type="dxa"/>
            <w:tcBorders>
              <w:top w:val="nil"/>
              <w:left w:val="nil"/>
              <w:bottom w:val="single" w:sz="4" w:space="0" w:color="auto"/>
              <w:right w:val="nil"/>
            </w:tcBorders>
            <w:shd w:val="clear" w:color="000000" w:fill="FFFFFF"/>
            <w:noWrap/>
            <w:vAlign w:val="bottom"/>
            <w:hideMark/>
          </w:tcPr>
          <w:p w14:paraId="06721418"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(1.741)</w:t>
            </w:r>
          </w:p>
        </w:tc>
        <w:tc>
          <w:tcPr>
            <w:tcW w:w="274" w:type="dxa"/>
            <w:tcBorders>
              <w:top w:val="nil"/>
              <w:left w:val="nil"/>
              <w:bottom w:val="single" w:sz="4" w:space="0" w:color="auto"/>
              <w:right w:val="nil"/>
            </w:tcBorders>
            <w:shd w:val="clear" w:color="000000" w:fill="FFFFFF"/>
            <w:noWrap/>
            <w:vAlign w:val="center"/>
            <w:hideMark/>
          </w:tcPr>
          <w:p w14:paraId="61797F2F"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vertAlign w:val="superscript"/>
              </w:rPr>
              <w:t> </w:t>
            </w:r>
          </w:p>
        </w:tc>
      </w:tr>
      <w:tr w:rsidR="00AF6572" w:rsidRPr="00312C08" w14:paraId="688219F6" w14:textId="77777777" w:rsidTr="00953A15">
        <w:trPr>
          <w:trHeight w:val="340"/>
        </w:trPr>
        <w:tc>
          <w:tcPr>
            <w:tcW w:w="5809" w:type="dxa"/>
            <w:tcBorders>
              <w:top w:val="nil"/>
              <w:left w:val="nil"/>
              <w:bottom w:val="double" w:sz="6" w:space="0" w:color="auto"/>
              <w:right w:val="single" w:sz="4" w:space="0" w:color="auto"/>
            </w:tcBorders>
            <w:shd w:val="clear" w:color="auto" w:fill="auto"/>
            <w:noWrap/>
            <w:vAlign w:val="center"/>
            <w:hideMark/>
          </w:tcPr>
          <w:p w14:paraId="6499C8F3"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R-squared</w:t>
            </w:r>
          </w:p>
        </w:tc>
        <w:tc>
          <w:tcPr>
            <w:tcW w:w="904" w:type="dxa"/>
            <w:tcBorders>
              <w:top w:val="nil"/>
              <w:left w:val="nil"/>
              <w:bottom w:val="double" w:sz="6" w:space="0" w:color="auto"/>
              <w:right w:val="nil"/>
            </w:tcBorders>
            <w:shd w:val="clear" w:color="000000" w:fill="FFFFFF"/>
            <w:noWrap/>
            <w:vAlign w:val="bottom"/>
            <w:hideMark/>
          </w:tcPr>
          <w:p w14:paraId="7ABEFE8C"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xml:space="preserve">0.4272 </w:t>
            </w:r>
          </w:p>
        </w:tc>
        <w:tc>
          <w:tcPr>
            <w:tcW w:w="264" w:type="dxa"/>
            <w:tcBorders>
              <w:top w:val="nil"/>
              <w:left w:val="nil"/>
              <w:bottom w:val="double" w:sz="6" w:space="0" w:color="auto"/>
              <w:right w:val="single" w:sz="4" w:space="0" w:color="auto"/>
            </w:tcBorders>
            <w:shd w:val="clear" w:color="000000" w:fill="FFFFFF"/>
            <w:noWrap/>
            <w:vAlign w:val="bottom"/>
            <w:hideMark/>
          </w:tcPr>
          <w:p w14:paraId="0C382CC2" w14:textId="77777777" w:rsidR="00AF6572" w:rsidRPr="00312C08" w:rsidRDefault="00AF6572" w:rsidP="00953A15">
            <w:pPr>
              <w:spacing w:after="0" w:line="240" w:lineRule="auto"/>
              <w:jc w:val="center"/>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w:t>
            </w:r>
          </w:p>
        </w:tc>
        <w:tc>
          <w:tcPr>
            <w:tcW w:w="889" w:type="dxa"/>
            <w:tcBorders>
              <w:top w:val="nil"/>
              <w:left w:val="nil"/>
              <w:bottom w:val="double" w:sz="6" w:space="0" w:color="auto"/>
              <w:right w:val="nil"/>
            </w:tcBorders>
            <w:shd w:val="clear" w:color="000000" w:fill="FFFFFF"/>
            <w:noWrap/>
            <w:vAlign w:val="bottom"/>
            <w:hideMark/>
          </w:tcPr>
          <w:p w14:paraId="6219D788" w14:textId="77777777" w:rsidR="00AF6572" w:rsidRPr="00312C08" w:rsidRDefault="00AF6572" w:rsidP="00953A15">
            <w:pPr>
              <w:spacing w:after="0" w:line="240" w:lineRule="auto"/>
              <w:jc w:val="right"/>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0.4362</w:t>
            </w:r>
          </w:p>
        </w:tc>
        <w:tc>
          <w:tcPr>
            <w:tcW w:w="274" w:type="dxa"/>
            <w:tcBorders>
              <w:top w:val="nil"/>
              <w:left w:val="nil"/>
              <w:bottom w:val="double" w:sz="6" w:space="0" w:color="auto"/>
              <w:right w:val="nil"/>
            </w:tcBorders>
            <w:shd w:val="clear" w:color="000000" w:fill="FFFFFF"/>
            <w:noWrap/>
            <w:vAlign w:val="bottom"/>
            <w:hideMark/>
          </w:tcPr>
          <w:p w14:paraId="146E5A12" w14:textId="77777777" w:rsidR="00AF6572" w:rsidRPr="00312C08" w:rsidRDefault="00AF6572" w:rsidP="00953A15">
            <w:pPr>
              <w:spacing w:after="0" w:line="240" w:lineRule="auto"/>
              <w:rPr>
                <w:rFonts w:ascii="Times New Roman" w:eastAsia="Times New Roman" w:hAnsi="Times New Roman" w:cs="Times New Roman"/>
                <w:sz w:val="24"/>
                <w:szCs w:val="24"/>
              </w:rPr>
            </w:pPr>
            <w:r w:rsidRPr="00312C08">
              <w:rPr>
                <w:rFonts w:ascii="Times New Roman" w:eastAsia="Times New Roman" w:hAnsi="Times New Roman" w:cs="Times New Roman"/>
                <w:sz w:val="24"/>
                <w:szCs w:val="24"/>
              </w:rPr>
              <w:t> </w:t>
            </w:r>
          </w:p>
        </w:tc>
      </w:tr>
      <w:tr w:rsidR="00AF6572" w:rsidRPr="00312C08" w14:paraId="21D71D2D" w14:textId="77777777" w:rsidTr="00953A15">
        <w:trPr>
          <w:trHeight w:val="1020"/>
        </w:trPr>
        <w:tc>
          <w:tcPr>
            <w:tcW w:w="8140" w:type="dxa"/>
            <w:gridSpan w:val="5"/>
            <w:tcBorders>
              <w:top w:val="double" w:sz="6" w:space="0" w:color="auto"/>
              <w:left w:val="nil"/>
              <w:bottom w:val="nil"/>
              <w:right w:val="nil"/>
            </w:tcBorders>
            <w:shd w:val="clear" w:color="auto" w:fill="auto"/>
            <w:vAlign w:val="bottom"/>
            <w:hideMark/>
          </w:tcPr>
          <w:p w14:paraId="622ADFC3" w14:textId="77777777" w:rsidR="00AF6572" w:rsidRPr="00312C08" w:rsidRDefault="00AF6572" w:rsidP="00953A15">
            <w:pPr>
              <w:spacing w:after="0" w:line="240" w:lineRule="auto"/>
              <w:rPr>
                <w:rFonts w:ascii="Calibri" w:eastAsia="Times New Roman" w:hAnsi="Calibri" w:cs="Times New Roman"/>
                <w:color w:val="000000"/>
              </w:rPr>
            </w:pPr>
            <w:r w:rsidRPr="00312C08">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bl>
    <w:p w14:paraId="7204A900" w14:textId="02689FD6" w:rsidR="00AF6572" w:rsidRDefault="00AF6572"/>
    <w:p w14:paraId="0E1CD01D" w14:textId="5889EC46" w:rsidR="00AF6572" w:rsidRDefault="00AF6572">
      <w:r>
        <w:br w:type="page"/>
      </w:r>
    </w:p>
    <w:tbl>
      <w:tblPr>
        <w:tblW w:w="8460" w:type="dxa"/>
        <w:tblLook w:val="04A0" w:firstRow="1" w:lastRow="0" w:firstColumn="1" w:lastColumn="0" w:noHBand="0" w:noVBand="1"/>
      </w:tblPr>
      <w:tblGrid>
        <w:gridCol w:w="5734"/>
        <w:gridCol w:w="1234"/>
        <w:gridCol w:w="411"/>
        <w:gridCol w:w="953"/>
        <w:gridCol w:w="411"/>
      </w:tblGrid>
      <w:tr w:rsidR="00483C2E" w:rsidRPr="00483C2E" w14:paraId="3203108E" w14:textId="77777777" w:rsidTr="00483C2E">
        <w:trPr>
          <w:trHeight w:val="320"/>
        </w:trPr>
        <w:tc>
          <w:tcPr>
            <w:tcW w:w="8460" w:type="dxa"/>
            <w:gridSpan w:val="5"/>
            <w:tcBorders>
              <w:top w:val="nil"/>
              <w:left w:val="nil"/>
              <w:bottom w:val="nil"/>
              <w:right w:val="nil"/>
            </w:tcBorders>
            <w:shd w:val="clear" w:color="000000" w:fill="FFFFFF"/>
            <w:vAlign w:val="bottom"/>
            <w:hideMark/>
          </w:tcPr>
          <w:p w14:paraId="49F0B2AA" w14:textId="77777777" w:rsidR="00483C2E" w:rsidRPr="00483C2E" w:rsidRDefault="00483C2E" w:rsidP="00483C2E">
            <w:pPr>
              <w:spacing w:after="0" w:line="240" w:lineRule="auto"/>
              <w:jc w:val="center"/>
              <w:rPr>
                <w:rFonts w:ascii="Times New Roman" w:eastAsia="Times New Roman" w:hAnsi="Times New Roman" w:cs="Times New Roman"/>
                <w:b/>
                <w:bCs/>
                <w:sz w:val="24"/>
                <w:szCs w:val="24"/>
              </w:rPr>
            </w:pPr>
            <w:r w:rsidRPr="00483C2E">
              <w:rPr>
                <w:rFonts w:ascii="Times New Roman" w:eastAsia="Times New Roman" w:hAnsi="Times New Roman" w:cs="Times New Roman"/>
                <w:b/>
                <w:bCs/>
                <w:sz w:val="24"/>
                <w:szCs w:val="24"/>
              </w:rPr>
              <w:lastRenderedPageBreak/>
              <w:t>Table 6</w:t>
            </w:r>
          </w:p>
        </w:tc>
      </w:tr>
      <w:tr w:rsidR="00483C2E" w:rsidRPr="00483C2E" w14:paraId="7D254556" w14:textId="77777777" w:rsidTr="00483C2E">
        <w:trPr>
          <w:trHeight w:val="320"/>
        </w:trPr>
        <w:tc>
          <w:tcPr>
            <w:tcW w:w="8460" w:type="dxa"/>
            <w:gridSpan w:val="5"/>
            <w:tcBorders>
              <w:top w:val="nil"/>
              <w:left w:val="nil"/>
              <w:bottom w:val="single" w:sz="4" w:space="0" w:color="auto"/>
              <w:right w:val="nil"/>
            </w:tcBorders>
            <w:shd w:val="clear" w:color="000000" w:fill="FFFFFF"/>
            <w:vAlign w:val="bottom"/>
            <w:hideMark/>
          </w:tcPr>
          <w:p w14:paraId="3A9EE789" w14:textId="77777777" w:rsidR="00483C2E" w:rsidRPr="00483C2E" w:rsidRDefault="00483C2E" w:rsidP="00483C2E">
            <w:pPr>
              <w:spacing w:after="0" w:line="240" w:lineRule="auto"/>
              <w:jc w:val="center"/>
              <w:rPr>
                <w:rFonts w:ascii="Times New Roman" w:eastAsia="Times New Roman" w:hAnsi="Times New Roman" w:cs="Times New Roman"/>
                <w:b/>
                <w:bCs/>
                <w:sz w:val="24"/>
                <w:szCs w:val="24"/>
              </w:rPr>
            </w:pPr>
            <w:r w:rsidRPr="00483C2E">
              <w:rPr>
                <w:rFonts w:ascii="Times New Roman" w:eastAsia="Times New Roman" w:hAnsi="Times New Roman" w:cs="Times New Roman"/>
                <w:b/>
                <w:bCs/>
                <w:sz w:val="24"/>
                <w:szCs w:val="24"/>
              </w:rPr>
              <w:t>Linear Regression Estimates of Determinates of Norrington Rankings</w:t>
            </w:r>
          </w:p>
        </w:tc>
      </w:tr>
      <w:tr w:rsidR="00483C2E" w:rsidRPr="00483C2E" w14:paraId="3A6F6D28" w14:textId="77777777" w:rsidTr="00483C2E">
        <w:trPr>
          <w:trHeight w:val="340"/>
        </w:trPr>
        <w:tc>
          <w:tcPr>
            <w:tcW w:w="5734" w:type="dxa"/>
            <w:tcBorders>
              <w:top w:val="nil"/>
              <w:left w:val="nil"/>
              <w:bottom w:val="double" w:sz="6" w:space="0" w:color="auto"/>
              <w:right w:val="single" w:sz="4" w:space="0" w:color="auto"/>
            </w:tcBorders>
            <w:shd w:val="clear" w:color="000000" w:fill="FFFFFF"/>
            <w:noWrap/>
            <w:vAlign w:val="bottom"/>
            <w:hideMark/>
          </w:tcPr>
          <w:p w14:paraId="19E1FAE4" w14:textId="77777777" w:rsidR="00483C2E" w:rsidRPr="00483C2E" w:rsidRDefault="00483C2E" w:rsidP="00483C2E">
            <w:pPr>
              <w:spacing w:after="0" w:line="240" w:lineRule="auto"/>
              <w:rPr>
                <w:rFonts w:ascii="Times New Roman" w:eastAsia="Times New Roman" w:hAnsi="Times New Roman" w:cs="Times New Roman"/>
                <w:b/>
                <w:bCs/>
                <w:sz w:val="24"/>
                <w:szCs w:val="24"/>
              </w:rPr>
            </w:pPr>
            <w:r w:rsidRPr="00483C2E">
              <w:rPr>
                <w:rFonts w:ascii="Times New Roman" w:eastAsia="Times New Roman" w:hAnsi="Times New Roman" w:cs="Times New Roman"/>
                <w:b/>
                <w:bCs/>
                <w:sz w:val="24"/>
                <w:szCs w:val="24"/>
              </w:rPr>
              <w:t xml:space="preserve">Variable </w:t>
            </w:r>
          </w:p>
        </w:tc>
        <w:tc>
          <w:tcPr>
            <w:tcW w:w="1479" w:type="dxa"/>
            <w:gridSpan w:val="2"/>
            <w:tcBorders>
              <w:top w:val="single" w:sz="4" w:space="0" w:color="auto"/>
              <w:left w:val="nil"/>
              <w:bottom w:val="double" w:sz="6" w:space="0" w:color="auto"/>
              <w:right w:val="single" w:sz="4" w:space="0" w:color="000000"/>
            </w:tcBorders>
            <w:shd w:val="clear" w:color="000000" w:fill="FFFFFF"/>
            <w:vAlign w:val="bottom"/>
            <w:hideMark/>
          </w:tcPr>
          <w:p w14:paraId="0D62C00B" w14:textId="77777777" w:rsidR="00483C2E" w:rsidRPr="00483C2E" w:rsidRDefault="00483C2E" w:rsidP="00483C2E">
            <w:pPr>
              <w:spacing w:after="0" w:line="240" w:lineRule="auto"/>
              <w:jc w:val="center"/>
              <w:rPr>
                <w:rFonts w:ascii="Times New Roman" w:eastAsia="Times New Roman" w:hAnsi="Times New Roman" w:cs="Times New Roman"/>
                <w:b/>
                <w:bCs/>
                <w:color w:val="000000"/>
                <w:sz w:val="24"/>
                <w:szCs w:val="24"/>
              </w:rPr>
            </w:pPr>
            <w:r w:rsidRPr="00483C2E">
              <w:rPr>
                <w:rFonts w:ascii="Times New Roman" w:eastAsia="Times New Roman" w:hAnsi="Times New Roman" w:cs="Times New Roman"/>
                <w:b/>
                <w:bCs/>
                <w:color w:val="000000"/>
                <w:sz w:val="24"/>
                <w:szCs w:val="24"/>
              </w:rPr>
              <w:t>(1)</w:t>
            </w:r>
          </w:p>
        </w:tc>
        <w:tc>
          <w:tcPr>
            <w:tcW w:w="1247" w:type="dxa"/>
            <w:gridSpan w:val="2"/>
            <w:tcBorders>
              <w:top w:val="single" w:sz="4" w:space="0" w:color="auto"/>
              <w:left w:val="nil"/>
              <w:bottom w:val="double" w:sz="6" w:space="0" w:color="auto"/>
              <w:right w:val="nil"/>
            </w:tcBorders>
            <w:shd w:val="clear" w:color="000000" w:fill="FFFFFF"/>
            <w:vAlign w:val="bottom"/>
            <w:hideMark/>
          </w:tcPr>
          <w:p w14:paraId="206E16DA" w14:textId="77777777" w:rsidR="00483C2E" w:rsidRPr="00483C2E" w:rsidRDefault="00483C2E" w:rsidP="00483C2E">
            <w:pPr>
              <w:spacing w:after="0" w:line="240" w:lineRule="auto"/>
              <w:jc w:val="center"/>
              <w:rPr>
                <w:rFonts w:ascii="Times New Roman" w:eastAsia="Times New Roman" w:hAnsi="Times New Roman" w:cs="Times New Roman"/>
                <w:b/>
                <w:bCs/>
                <w:color w:val="000000"/>
                <w:sz w:val="24"/>
                <w:szCs w:val="24"/>
              </w:rPr>
            </w:pPr>
            <w:r w:rsidRPr="00483C2E">
              <w:rPr>
                <w:rFonts w:ascii="Times New Roman" w:eastAsia="Times New Roman" w:hAnsi="Times New Roman" w:cs="Times New Roman"/>
                <w:b/>
                <w:bCs/>
                <w:color w:val="000000"/>
                <w:sz w:val="24"/>
                <w:szCs w:val="24"/>
              </w:rPr>
              <w:t>(2)</w:t>
            </w:r>
          </w:p>
        </w:tc>
      </w:tr>
      <w:tr w:rsidR="00483C2E" w:rsidRPr="00483C2E" w14:paraId="572FF706" w14:textId="77777777" w:rsidTr="00483C2E">
        <w:trPr>
          <w:trHeight w:val="340"/>
        </w:trPr>
        <w:tc>
          <w:tcPr>
            <w:tcW w:w="5734" w:type="dxa"/>
            <w:vMerge w:val="restart"/>
            <w:tcBorders>
              <w:top w:val="nil"/>
              <w:left w:val="nil"/>
              <w:bottom w:val="nil"/>
              <w:right w:val="single" w:sz="4" w:space="0" w:color="auto"/>
            </w:tcBorders>
            <w:shd w:val="clear" w:color="000000" w:fill="FFFFFF"/>
            <w:vAlign w:val="center"/>
            <w:hideMark/>
          </w:tcPr>
          <w:p w14:paraId="5FBB67B4"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-2</w:t>
            </w:r>
          </w:p>
        </w:tc>
        <w:tc>
          <w:tcPr>
            <w:tcW w:w="1234" w:type="dxa"/>
            <w:tcBorders>
              <w:top w:val="nil"/>
              <w:left w:val="nil"/>
              <w:bottom w:val="nil"/>
              <w:right w:val="nil"/>
            </w:tcBorders>
            <w:shd w:val="clear" w:color="000000" w:fill="FFFFFF"/>
            <w:noWrap/>
            <w:vAlign w:val="bottom"/>
            <w:hideMark/>
          </w:tcPr>
          <w:p w14:paraId="33864BD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2.270</w:t>
            </w:r>
          </w:p>
        </w:tc>
        <w:tc>
          <w:tcPr>
            <w:tcW w:w="245" w:type="dxa"/>
            <w:tcBorders>
              <w:top w:val="nil"/>
              <w:left w:val="nil"/>
              <w:bottom w:val="nil"/>
              <w:right w:val="single" w:sz="4" w:space="0" w:color="auto"/>
            </w:tcBorders>
            <w:shd w:val="clear" w:color="000000" w:fill="FFFFFF"/>
            <w:noWrap/>
            <w:vAlign w:val="center"/>
            <w:hideMark/>
          </w:tcPr>
          <w:p w14:paraId="42195791"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141404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2.270</w:t>
            </w:r>
          </w:p>
        </w:tc>
        <w:tc>
          <w:tcPr>
            <w:tcW w:w="294" w:type="dxa"/>
            <w:tcBorders>
              <w:top w:val="nil"/>
              <w:left w:val="nil"/>
              <w:bottom w:val="nil"/>
              <w:right w:val="nil"/>
            </w:tcBorders>
            <w:shd w:val="clear" w:color="000000" w:fill="FFFFFF"/>
            <w:noWrap/>
            <w:vAlign w:val="center"/>
            <w:hideMark/>
          </w:tcPr>
          <w:p w14:paraId="1F4C8FA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A50F906" w14:textId="77777777" w:rsidTr="00483C2E">
        <w:trPr>
          <w:trHeight w:val="320"/>
        </w:trPr>
        <w:tc>
          <w:tcPr>
            <w:tcW w:w="5734" w:type="dxa"/>
            <w:vMerge/>
            <w:tcBorders>
              <w:top w:val="nil"/>
              <w:left w:val="nil"/>
              <w:bottom w:val="nil"/>
              <w:right w:val="single" w:sz="4" w:space="0" w:color="auto"/>
            </w:tcBorders>
            <w:vAlign w:val="center"/>
            <w:hideMark/>
          </w:tcPr>
          <w:p w14:paraId="66247699"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FE6A81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(4.009)</w:t>
            </w:r>
          </w:p>
        </w:tc>
        <w:tc>
          <w:tcPr>
            <w:tcW w:w="245" w:type="dxa"/>
            <w:tcBorders>
              <w:top w:val="nil"/>
              <w:left w:val="nil"/>
              <w:bottom w:val="nil"/>
              <w:right w:val="single" w:sz="4" w:space="0" w:color="auto"/>
            </w:tcBorders>
            <w:shd w:val="clear" w:color="000000" w:fill="FFFFFF"/>
            <w:noWrap/>
            <w:vAlign w:val="center"/>
            <w:hideMark/>
          </w:tcPr>
          <w:p w14:paraId="6ECC6D3F"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3880EB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(4.009)</w:t>
            </w:r>
          </w:p>
        </w:tc>
        <w:tc>
          <w:tcPr>
            <w:tcW w:w="294" w:type="dxa"/>
            <w:tcBorders>
              <w:top w:val="nil"/>
              <w:left w:val="nil"/>
              <w:bottom w:val="nil"/>
              <w:right w:val="nil"/>
            </w:tcBorders>
            <w:shd w:val="clear" w:color="000000" w:fill="FFFFFF"/>
            <w:noWrap/>
            <w:vAlign w:val="center"/>
            <w:hideMark/>
          </w:tcPr>
          <w:p w14:paraId="05AA1E17"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1F1D5194"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3F6E3C83"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-1</w:t>
            </w:r>
          </w:p>
        </w:tc>
        <w:tc>
          <w:tcPr>
            <w:tcW w:w="1234" w:type="dxa"/>
            <w:tcBorders>
              <w:top w:val="nil"/>
              <w:left w:val="nil"/>
              <w:bottom w:val="nil"/>
              <w:right w:val="nil"/>
            </w:tcBorders>
            <w:shd w:val="clear" w:color="000000" w:fill="FFFFFF"/>
            <w:noWrap/>
            <w:vAlign w:val="bottom"/>
            <w:hideMark/>
          </w:tcPr>
          <w:p w14:paraId="0314458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4.190</w:t>
            </w:r>
          </w:p>
        </w:tc>
        <w:tc>
          <w:tcPr>
            <w:tcW w:w="245" w:type="dxa"/>
            <w:tcBorders>
              <w:top w:val="nil"/>
              <w:left w:val="nil"/>
              <w:bottom w:val="nil"/>
              <w:right w:val="single" w:sz="4" w:space="0" w:color="auto"/>
            </w:tcBorders>
            <w:shd w:val="clear" w:color="000000" w:fill="FFFFFF"/>
            <w:noWrap/>
            <w:vAlign w:val="center"/>
            <w:hideMark/>
          </w:tcPr>
          <w:p w14:paraId="3BBD3BD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5AE80F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4.190</w:t>
            </w:r>
          </w:p>
        </w:tc>
        <w:tc>
          <w:tcPr>
            <w:tcW w:w="294" w:type="dxa"/>
            <w:tcBorders>
              <w:top w:val="nil"/>
              <w:left w:val="nil"/>
              <w:bottom w:val="nil"/>
              <w:right w:val="nil"/>
            </w:tcBorders>
            <w:shd w:val="clear" w:color="000000" w:fill="FFFFFF"/>
            <w:noWrap/>
            <w:vAlign w:val="center"/>
            <w:hideMark/>
          </w:tcPr>
          <w:p w14:paraId="7296D2A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340F219" w14:textId="77777777" w:rsidTr="00483C2E">
        <w:trPr>
          <w:trHeight w:val="320"/>
        </w:trPr>
        <w:tc>
          <w:tcPr>
            <w:tcW w:w="5734" w:type="dxa"/>
            <w:vMerge/>
            <w:tcBorders>
              <w:top w:val="nil"/>
              <w:left w:val="nil"/>
              <w:bottom w:val="nil"/>
              <w:right w:val="single" w:sz="4" w:space="0" w:color="auto"/>
            </w:tcBorders>
            <w:vAlign w:val="center"/>
            <w:hideMark/>
          </w:tcPr>
          <w:p w14:paraId="42CF51B0"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67DAC4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(4.351)</w:t>
            </w:r>
          </w:p>
        </w:tc>
        <w:tc>
          <w:tcPr>
            <w:tcW w:w="245" w:type="dxa"/>
            <w:tcBorders>
              <w:top w:val="nil"/>
              <w:left w:val="nil"/>
              <w:bottom w:val="nil"/>
              <w:right w:val="single" w:sz="4" w:space="0" w:color="auto"/>
            </w:tcBorders>
            <w:shd w:val="clear" w:color="000000" w:fill="FFFFFF"/>
            <w:noWrap/>
            <w:vAlign w:val="center"/>
            <w:hideMark/>
          </w:tcPr>
          <w:p w14:paraId="3E45C88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162A9C2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(4.351)</w:t>
            </w:r>
          </w:p>
        </w:tc>
        <w:tc>
          <w:tcPr>
            <w:tcW w:w="294" w:type="dxa"/>
            <w:tcBorders>
              <w:top w:val="nil"/>
              <w:left w:val="nil"/>
              <w:bottom w:val="nil"/>
              <w:right w:val="nil"/>
            </w:tcBorders>
            <w:shd w:val="clear" w:color="000000" w:fill="FFFFFF"/>
            <w:noWrap/>
            <w:vAlign w:val="center"/>
            <w:hideMark/>
          </w:tcPr>
          <w:p w14:paraId="7BB4D449"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6047F8E8"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4D949368"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0</w:t>
            </w:r>
          </w:p>
        </w:tc>
        <w:tc>
          <w:tcPr>
            <w:tcW w:w="1234" w:type="dxa"/>
            <w:tcBorders>
              <w:top w:val="nil"/>
              <w:left w:val="nil"/>
              <w:bottom w:val="nil"/>
              <w:right w:val="nil"/>
            </w:tcBorders>
            <w:shd w:val="clear" w:color="000000" w:fill="FFFFFF"/>
            <w:noWrap/>
            <w:vAlign w:val="bottom"/>
            <w:hideMark/>
          </w:tcPr>
          <w:p w14:paraId="57E7CCF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6.936</w:t>
            </w:r>
          </w:p>
        </w:tc>
        <w:tc>
          <w:tcPr>
            <w:tcW w:w="245" w:type="dxa"/>
            <w:tcBorders>
              <w:top w:val="nil"/>
              <w:left w:val="nil"/>
              <w:bottom w:val="nil"/>
              <w:right w:val="single" w:sz="4" w:space="0" w:color="auto"/>
            </w:tcBorders>
            <w:shd w:val="clear" w:color="000000" w:fill="FFFFFF"/>
            <w:noWrap/>
            <w:vAlign w:val="center"/>
            <w:hideMark/>
          </w:tcPr>
          <w:p w14:paraId="72AE941D"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2E7516D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6.936</w:t>
            </w:r>
          </w:p>
        </w:tc>
        <w:tc>
          <w:tcPr>
            <w:tcW w:w="294" w:type="dxa"/>
            <w:tcBorders>
              <w:top w:val="nil"/>
              <w:left w:val="nil"/>
              <w:bottom w:val="nil"/>
              <w:right w:val="nil"/>
            </w:tcBorders>
            <w:shd w:val="clear" w:color="000000" w:fill="FFFFFF"/>
            <w:noWrap/>
            <w:vAlign w:val="center"/>
            <w:hideMark/>
          </w:tcPr>
          <w:p w14:paraId="5CF93A8C"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r>
      <w:tr w:rsidR="00483C2E" w:rsidRPr="00483C2E" w14:paraId="51FB6555" w14:textId="77777777" w:rsidTr="00483C2E">
        <w:trPr>
          <w:trHeight w:val="320"/>
        </w:trPr>
        <w:tc>
          <w:tcPr>
            <w:tcW w:w="5734" w:type="dxa"/>
            <w:vMerge/>
            <w:tcBorders>
              <w:top w:val="nil"/>
              <w:left w:val="nil"/>
              <w:bottom w:val="nil"/>
              <w:right w:val="single" w:sz="4" w:space="0" w:color="auto"/>
            </w:tcBorders>
            <w:vAlign w:val="center"/>
            <w:hideMark/>
          </w:tcPr>
          <w:p w14:paraId="4424B346"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4EFE59D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(4.214)</w:t>
            </w:r>
          </w:p>
        </w:tc>
        <w:tc>
          <w:tcPr>
            <w:tcW w:w="245" w:type="dxa"/>
            <w:tcBorders>
              <w:top w:val="nil"/>
              <w:left w:val="nil"/>
              <w:bottom w:val="nil"/>
              <w:right w:val="single" w:sz="4" w:space="0" w:color="auto"/>
            </w:tcBorders>
            <w:shd w:val="clear" w:color="000000" w:fill="FFFFFF"/>
            <w:noWrap/>
            <w:vAlign w:val="center"/>
            <w:hideMark/>
          </w:tcPr>
          <w:p w14:paraId="0EC9B65F"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6B661A8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(4.214)</w:t>
            </w:r>
          </w:p>
        </w:tc>
        <w:tc>
          <w:tcPr>
            <w:tcW w:w="294" w:type="dxa"/>
            <w:tcBorders>
              <w:top w:val="nil"/>
              <w:left w:val="nil"/>
              <w:bottom w:val="nil"/>
              <w:right w:val="nil"/>
            </w:tcBorders>
            <w:shd w:val="clear" w:color="000000" w:fill="FFFFFF"/>
            <w:noWrap/>
            <w:vAlign w:val="center"/>
            <w:hideMark/>
          </w:tcPr>
          <w:p w14:paraId="47137EFC"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r>
      <w:tr w:rsidR="00483C2E" w:rsidRPr="00483C2E" w14:paraId="74AAB0ED"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346B5B46"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+1</w:t>
            </w:r>
          </w:p>
        </w:tc>
        <w:tc>
          <w:tcPr>
            <w:tcW w:w="1234" w:type="dxa"/>
            <w:tcBorders>
              <w:top w:val="nil"/>
              <w:left w:val="nil"/>
              <w:bottom w:val="nil"/>
              <w:right w:val="nil"/>
            </w:tcBorders>
            <w:shd w:val="clear" w:color="000000" w:fill="FFFFFF"/>
            <w:noWrap/>
            <w:vAlign w:val="bottom"/>
            <w:hideMark/>
          </w:tcPr>
          <w:p w14:paraId="15996DC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0.433</w:t>
            </w:r>
          </w:p>
        </w:tc>
        <w:tc>
          <w:tcPr>
            <w:tcW w:w="245" w:type="dxa"/>
            <w:tcBorders>
              <w:top w:val="nil"/>
              <w:left w:val="nil"/>
              <w:bottom w:val="nil"/>
              <w:right w:val="single" w:sz="4" w:space="0" w:color="auto"/>
            </w:tcBorders>
            <w:shd w:val="clear" w:color="000000" w:fill="FFFFFF"/>
            <w:noWrap/>
            <w:vAlign w:val="center"/>
            <w:hideMark/>
          </w:tcPr>
          <w:p w14:paraId="3A14A9C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45C3271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0.433</w:t>
            </w:r>
          </w:p>
        </w:tc>
        <w:tc>
          <w:tcPr>
            <w:tcW w:w="294" w:type="dxa"/>
            <w:tcBorders>
              <w:top w:val="nil"/>
              <w:left w:val="nil"/>
              <w:bottom w:val="nil"/>
              <w:right w:val="nil"/>
            </w:tcBorders>
            <w:shd w:val="clear" w:color="000000" w:fill="FFFFFF"/>
            <w:noWrap/>
            <w:vAlign w:val="center"/>
            <w:hideMark/>
          </w:tcPr>
          <w:p w14:paraId="6AC0773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3DED0F5C" w14:textId="77777777" w:rsidTr="00483C2E">
        <w:trPr>
          <w:trHeight w:val="320"/>
        </w:trPr>
        <w:tc>
          <w:tcPr>
            <w:tcW w:w="5734" w:type="dxa"/>
            <w:vMerge/>
            <w:tcBorders>
              <w:top w:val="nil"/>
              <w:left w:val="nil"/>
              <w:bottom w:val="nil"/>
              <w:right w:val="single" w:sz="4" w:space="0" w:color="auto"/>
            </w:tcBorders>
            <w:vAlign w:val="center"/>
            <w:hideMark/>
          </w:tcPr>
          <w:p w14:paraId="53527187"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CDA2495"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(4.229)</w:t>
            </w:r>
          </w:p>
        </w:tc>
        <w:tc>
          <w:tcPr>
            <w:tcW w:w="245" w:type="dxa"/>
            <w:tcBorders>
              <w:top w:val="nil"/>
              <w:left w:val="nil"/>
              <w:bottom w:val="nil"/>
              <w:right w:val="single" w:sz="4" w:space="0" w:color="auto"/>
            </w:tcBorders>
            <w:shd w:val="clear" w:color="000000" w:fill="FFFFFF"/>
            <w:noWrap/>
            <w:vAlign w:val="center"/>
            <w:hideMark/>
          </w:tcPr>
          <w:p w14:paraId="77BA281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BA1E56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(4.229)</w:t>
            </w:r>
          </w:p>
        </w:tc>
        <w:tc>
          <w:tcPr>
            <w:tcW w:w="294" w:type="dxa"/>
            <w:tcBorders>
              <w:top w:val="nil"/>
              <w:left w:val="nil"/>
              <w:bottom w:val="nil"/>
              <w:right w:val="nil"/>
            </w:tcBorders>
            <w:shd w:val="clear" w:color="000000" w:fill="FFFFFF"/>
            <w:noWrap/>
            <w:vAlign w:val="center"/>
            <w:hideMark/>
          </w:tcPr>
          <w:p w14:paraId="4CE9BC6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3ABCE7C0"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4A731DC1"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+2</w:t>
            </w:r>
          </w:p>
        </w:tc>
        <w:tc>
          <w:tcPr>
            <w:tcW w:w="1234" w:type="dxa"/>
            <w:tcBorders>
              <w:top w:val="nil"/>
              <w:left w:val="nil"/>
              <w:bottom w:val="nil"/>
              <w:right w:val="nil"/>
            </w:tcBorders>
            <w:shd w:val="clear" w:color="000000" w:fill="FFFFFF"/>
            <w:noWrap/>
            <w:vAlign w:val="bottom"/>
            <w:hideMark/>
          </w:tcPr>
          <w:p w14:paraId="3D494D1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3.389</w:t>
            </w:r>
          </w:p>
        </w:tc>
        <w:tc>
          <w:tcPr>
            <w:tcW w:w="245" w:type="dxa"/>
            <w:tcBorders>
              <w:top w:val="nil"/>
              <w:left w:val="nil"/>
              <w:bottom w:val="nil"/>
              <w:right w:val="single" w:sz="4" w:space="0" w:color="auto"/>
            </w:tcBorders>
            <w:shd w:val="clear" w:color="000000" w:fill="FFFFFF"/>
            <w:noWrap/>
            <w:vAlign w:val="center"/>
            <w:hideMark/>
          </w:tcPr>
          <w:p w14:paraId="401EDB8C"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7AD9572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3.389</w:t>
            </w:r>
          </w:p>
        </w:tc>
        <w:tc>
          <w:tcPr>
            <w:tcW w:w="294" w:type="dxa"/>
            <w:tcBorders>
              <w:top w:val="nil"/>
              <w:left w:val="nil"/>
              <w:bottom w:val="nil"/>
              <w:right w:val="nil"/>
            </w:tcBorders>
            <w:shd w:val="clear" w:color="000000" w:fill="FFFFFF"/>
            <w:noWrap/>
            <w:vAlign w:val="center"/>
            <w:hideMark/>
          </w:tcPr>
          <w:p w14:paraId="7EF2914B"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58963B4D" w14:textId="77777777" w:rsidTr="00483C2E">
        <w:trPr>
          <w:trHeight w:val="320"/>
        </w:trPr>
        <w:tc>
          <w:tcPr>
            <w:tcW w:w="5734" w:type="dxa"/>
            <w:vMerge/>
            <w:tcBorders>
              <w:top w:val="nil"/>
              <w:left w:val="nil"/>
              <w:bottom w:val="nil"/>
              <w:right w:val="single" w:sz="4" w:space="0" w:color="auto"/>
            </w:tcBorders>
            <w:vAlign w:val="center"/>
            <w:hideMark/>
          </w:tcPr>
          <w:p w14:paraId="7C13942D"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62883F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(4.490)</w:t>
            </w:r>
          </w:p>
        </w:tc>
        <w:tc>
          <w:tcPr>
            <w:tcW w:w="245" w:type="dxa"/>
            <w:tcBorders>
              <w:top w:val="nil"/>
              <w:left w:val="nil"/>
              <w:bottom w:val="nil"/>
              <w:right w:val="single" w:sz="4" w:space="0" w:color="auto"/>
            </w:tcBorders>
            <w:shd w:val="clear" w:color="000000" w:fill="FFFFFF"/>
            <w:noWrap/>
            <w:vAlign w:val="center"/>
            <w:hideMark/>
          </w:tcPr>
          <w:p w14:paraId="2B5BCA97"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7B77C23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(4.490)</w:t>
            </w:r>
          </w:p>
        </w:tc>
        <w:tc>
          <w:tcPr>
            <w:tcW w:w="294" w:type="dxa"/>
            <w:tcBorders>
              <w:top w:val="nil"/>
              <w:left w:val="nil"/>
              <w:bottom w:val="nil"/>
              <w:right w:val="nil"/>
            </w:tcBorders>
            <w:shd w:val="clear" w:color="000000" w:fill="FFFFFF"/>
            <w:noWrap/>
            <w:vAlign w:val="center"/>
            <w:hideMark/>
          </w:tcPr>
          <w:p w14:paraId="3C63B7F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6180A1E4"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166DE360"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+3</w:t>
            </w:r>
          </w:p>
        </w:tc>
        <w:tc>
          <w:tcPr>
            <w:tcW w:w="1234" w:type="dxa"/>
            <w:tcBorders>
              <w:top w:val="nil"/>
              <w:left w:val="nil"/>
              <w:bottom w:val="nil"/>
              <w:right w:val="nil"/>
            </w:tcBorders>
            <w:shd w:val="clear" w:color="000000" w:fill="FFFFFF"/>
            <w:noWrap/>
            <w:vAlign w:val="bottom"/>
            <w:hideMark/>
          </w:tcPr>
          <w:p w14:paraId="10B88AA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2.706</w:t>
            </w:r>
          </w:p>
        </w:tc>
        <w:tc>
          <w:tcPr>
            <w:tcW w:w="245" w:type="dxa"/>
            <w:tcBorders>
              <w:top w:val="nil"/>
              <w:left w:val="nil"/>
              <w:bottom w:val="nil"/>
              <w:right w:val="single" w:sz="4" w:space="0" w:color="auto"/>
            </w:tcBorders>
            <w:shd w:val="clear" w:color="000000" w:fill="FFFFFF"/>
            <w:noWrap/>
            <w:vAlign w:val="center"/>
            <w:hideMark/>
          </w:tcPr>
          <w:p w14:paraId="12AC0C07"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D56167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2.706</w:t>
            </w:r>
          </w:p>
        </w:tc>
        <w:tc>
          <w:tcPr>
            <w:tcW w:w="294" w:type="dxa"/>
            <w:tcBorders>
              <w:top w:val="nil"/>
              <w:left w:val="nil"/>
              <w:bottom w:val="nil"/>
              <w:right w:val="nil"/>
            </w:tcBorders>
            <w:shd w:val="clear" w:color="000000" w:fill="FFFFFF"/>
            <w:noWrap/>
            <w:vAlign w:val="center"/>
            <w:hideMark/>
          </w:tcPr>
          <w:p w14:paraId="1AA90710"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26B92E88" w14:textId="77777777" w:rsidTr="00483C2E">
        <w:trPr>
          <w:trHeight w:val="320"/>
        </w:trPr>
        <w:tc>
          <w:tcPr>
            <w:tcW w:w="5734" w:type="dxa"/>
            <w:vMerge/>
            <w:tcBorders>
              <w:top w:val="nil"/>
              <w:left w:val="nil"/>
              <w:bottom w:val="nil"/>
              <w:right w:val="single" w:sz="4" w:space="0" w:color="auto"/>
            </w:tcBorders>
            <w:vAlign w:val="center"/>
            <w:hideMark/>
          </w:tcPr>
          <w:p w14:paraId="1ECF80B2"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988F07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(4.690)</w:t>
            </w:r>
          </w:p>
        </w:tc>
        <w:tc>
          <w:tcPr>
            <w:tcW w:w="245" w:type="dxa"/>
            <w:tcBorders>
              <w:top w:val="nil"/>
              <w:left w:val="nil"/>
              <w:bottom w:val="nil"/>
              <w:right w:val="single" w:sz="4" w:space="0" w:color="auto"/>
            </w:tcBorders>
            <w:shd w:val="clear" w:color="000000" w:fill="FFFFFF"/>
            <w:noWrap/>
            <w:vAlign w:val="center"/>
            <w:hideMark/>
          </w:tcPr>
          <w:p w14:paraId="357E3A8F"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4699494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(4.690)</w:t>
            </w:r>
          </w:p>
        </w:tc>
        <w:tc>
          <w:tcPr>
            <w:tcW w:w="294" w:type="dxa"/>
            <w:tcBorders>
              <w:top w:val="nil"/>
              <w:left w:val="nil"/>
              <w:bottom w:val="nil"/>
              <w:right w:val="nil"/>
            </w:tcBorders>
            <w:shd w:val="clear" w:color="000000" w:fill="FFFFFF"/>
            <w:noWrap/>
            <w:vAlign w:val="center"/>
            <w:hideMark/>
          </w:tcPr>
          <w:p w14:paraId="019E088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37F6DEE1"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93ADFF1"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+4</w:t>
            </w:r>
          </w:p>
        </w:tc>
        <w:tc>
          <w:tcPr>
            <w:tcW w:w="1234" w:type="dxa"/>
            <w:tcBorders>
              <w:top w:val="nil"/>
              <w:left w:val="nil"/>
              <w:bottom w:val="nil"/>
              <w:right w:val="nil"/>
            </w:tcBorders>
            <w:shd w:val="clear" w:color="000000" w:fill="FFFFFF"/>
            <w:noWrap/>
            <w:vAlign w:val="bottom"/>
            <w:hideMark/>
          </w:tcPr>
          <w:p w14:paraId="52ADD8E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2.170</w:t>
            </w:r>
          </w:p>
        </w:tc>
        <w:tc>
          <w:tcPr>
            <w:tcW w:w="245" w:type="dxa"/>
            <w:tcBorders>
              <w:top w:val="nil"/>
              <w:left w:val="nil"/>
              <w:bottom w:val="nil"/>
              <w:right w:val="single" w:sz="4" w:space="0" w:color="auto"/>
            </w:tcBorders>
            <w:shd w:val="clear" w:color="000000" w:fill="FFFFFF"/>
            <w:noWrap/>
            <w:vAlign w:val="center"/>
            <w:hideMark/>
          </w:tcPr>
          <w:p w14:paraId="726829B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2116492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2.170</w:t>
            </w:r>
          </w:p>
        </w:tc>
        <w:tc>
          <w:tcPr>
            <w:tcW w:w="294" w:type="dxa"/>
            <w:tcBorders>
              <w:top w:val="nil"/>
              <w:left w:val="nil"/>
              <w:bottom w:val="nil"/>
              <w:right w:val="nil"/>
            </w:tcBorders>
            <w:shd w:val="clear" w:color="000000" w:fill="FFFFFF"/>
            <w:noWrap/>
            <w:vAlign w:val="center"/>
            <w:hideMark/>
          </w:tcPr>
          <w:p w14:paraId="6F01ED3B"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4DBA995F" w14:textId="77777777" w:rsidTr="00483C2E">
        <w:trPr>
          <w:trHeight w:val="320"/>
        </w:trPr>
        <w:tc>
          <w:tcPr>
            <w:tcW w:w="5734" w:type="dxa"/>
            <w:vMerge/>
            <w:tcBorders>
              <w:top w:val="nil"/>
              <w:left w:val="nil"/>
              <w:bottom w:val="nil"/>
              <w:right w:val="single" w:sz="4" w:space="0" w:color="auto"/>
            </w:tcBorders>
            <w:vAlign w:val="center"/>
            <w:hideMark/>
          </w:tcPr>
          <w:p w14:paraId="14D12DB1"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7D28B8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(4.278)</w:t>
            </w:r>
          </w:p>
        </w:tc>
        <w:tc>
          <w:tcPr>
            <w:tcW w:w="245" w:type="dxa"/>
            <w:tcBorders>
              <w:top w:val="nil"/>
              <w:left w:val="nil"/>
              <w:bottom w:val="nil"/>
              <w:right w:val="single" w:sz="4" w:space="0" w:color="auto"/>
            </w:tcBorders>
            <w:shd w:val="clear" w:color="000000" w:fill="FFFFFF"/>
            <w:noWrap/>
            <w:vAlign w:val="center"/>
            <w:hideMark/>
          </w:tcPr>
          <w:p w14:paraId="233EDA83"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3D5196B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(4.278)</w:t>
            </w:r>
          </w:p>
        </w:tc>
        <w:tc>
          <w:tcPr>
            <w:tcW w:w="294" w:type="dxa"/>
            <w:tcBorders>
              <w:top w:val="nil"/>
              <w:left w:val="nil"/>
              <w:bottom w:val="nil"/>
              <w:right w:val="nil"/>
            </w:tcBorders>
            <w:shd w:val="clear" w:color="000000" w:fill="FFFFFF"/>
            <w:noWrap/>
            <w:vAlign w:val="center"/>
            <w:hideMark/>
          </w:tcPr>
          <w:p w14:paraId="7E102DD1"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40D42FAD"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0A9AA177"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+5</w:t>
            </w:r>
          </w:p>
        </w:tc>
        <w:tc>
          <w:tcPr>
            <w:tcW w:w="1234" w:type="dxa"/>
            <w:tcBorders>
              <w:top w:val="nil"/>
              <w:left w:val="nil"/>
              <w:bottom w:val="nil"/>
              <w:right w:val="nil"/>
            </w:tcBorders>
            <w:shd w:val="clear" w:color="000000" w:fill="FFFFFF"/>
            <w:noWrap/>
            <w:vAlign w:val="bottom"/>
            <w:hideMark/>
          </w:tcPr>
          <w:p w14:paraId="6930FE7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0.070</w:t>
            </w:r>
          </w:p>
        </w:tc>
        <w:tc>
          <w:tcPr>
            <w:tcW w:w="245" w:type="dxa"/>
            <w:tcBorders>
              <w:top w:val="nil"/>
              <w:left w:val="nil"/>
              <w:bottom w:val="nil"/>
              <w:right w:val="single" w:sz="4" w:space="0" w:color="auto"/>
            </w:tcBorders>
            <w:shd w:val="clear" w:color="000000" w:fill="FFFFFF"/>
            <w:noWrap/>
            <w:vAlign w:val="center"/>
            <w:hideMark/>
          </w:tcPr>
          <w:p w14:paraId="179DEEF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20E5899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0.070</w:t>
            </w:r>
          </w:p>
        </w:tc>
        <w:tc>
          <w:tcPr>
            <w:tcW w:w="294" w:type="dxa"/>
            <w:tcBorders>
              <w:top w:val="nil"/>
              <w:left w:val="nil"/>
              <w:bottom w:val="nil"/>
              <w:right w:val="nil"/>
            </w:tcBorders>
            <w:shd w:val="clear" w:color="000000" w:fill="FFFFFF"/>
            <w:noWrap/>
            <w:vAlign w:val="center"/>
            <w:hideMark/>
          </w:tcPr>
          <w:p w14:paraId="20DC5C78"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762CCE7B" w14:textId="77777777" w:rsidTr="00483C2E">
        <w:trPr>
          <w:trHeight w:val="320"/>
        </w:trPr>
        <w:tc>
          <w:tcPr>
            <w:tcW w:w="5734" w:type="dxa"/>
            <w:vMerge/>
            <w:tcBorders>
              <w:top w:val="nil"/>
              <w:left w:val="nil"/>
              <w:bottom w:val="nil"/>
              <w:right w:val="single" w:sz="4" w:space="0" w:color="auto"/>
            </w:tcBorders>
            <w:vAlign w:val="center"/>
            <w:hideMark/>
          </w:tcPr>
          <w:p w14:paraId="2735CFA6"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66BD7F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(4.067)</w:t>
            </w:r>
          </w:p>
        </w:tc>
        <w:tc>
          <w:tcPr>
            <w:tcW w:w="245" w:type="dxa"/>
            <w:tcBorders>
              <w:top w:val="nil"/>
              <w:left w:val="nil"/>
              <w:bottom w:val="nil"/>
              <w:right w:val="single" w:sz="4" w:space="0" w:color="auto"/>
            </w:tcBorders>
            <w:shd w:val="clear" w:color="000000" w:fill="FFFFFF"/>
            <w:noWrap/>
            <w:vAlign w:val="center"/>
            <w:hideMark/>
          </w:tcPr>
          <w:p w14:paraId="0247FAB7"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E6A00D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(4.067)</w:t>
            </w:r>
          </w:p>
        </w:tc>
        <w:tc>
          <w:tcPr>
            <w:tcW w:w="294" w:type="dxa"/>
            <w:tcBorders>
              <w:top w:val="nil"/>
              <w:left w:val="nil"/>
              <w:bottom w:val="nil"/>
              <w:right w:val="nil"/>
            </w:tcBorders>
            <w:shd w:val="clear" w:color="000000" w:fill="FFFFFF"/>
            <w:noWrap/>
            <w:vAlign w:val="center"/>
            <w:hideMark/>
          </w:tcPr>
          <w:p w14:paraId="63B01BF1"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535A676E"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FFA2E09"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+6</w:t>
            </w:r>
          </w:p>
        </w:tc>
        <w:tc>
          <w:tcPr>
            <w:tcW w:w="1234" w:type="dxa"/>
            <w:tcBorders>
              <w:top w:val="nil"/>
              <w:left w:val="nil"/>
              <w:bottom w:val="nil"/>
              <w:right w:val="nil"/>
            </w:tcBorders>
            <w:shd w:val="clear" w:color="000000" w:fill="FFFFFF"/>
            <w:noWrap/>
            <w:vAlign w:val="bottom"/>
            <w:hideMark/>
          </w:tcPr>
          <w:p w14:paraId="2BC4D1B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-1.200</w:t>
            </w:r>
          </w:p>
        </w:tc>
        <w:tc>
          <w:tcPr>
            <w:tcW w:w="245" w:type="dxa"/>
            <w:tcBorders>
              <w:top w:val="nil"/>
              <w:left w:val="nil"/>
              <w:bottom w:val="nil"/>
              <w:right w:val="single" w:sz="4" w:space="0" w:color="auto"/>
            </w:tcBorders>
            <w:shd w:val="clear" w:color="000000" w:fill="FFFFFF"/>
            <w:noWrap/>
            <w:vAlign w:val="center"/>
            <w:hideMark/>
          </w:tcPr>
          <w:p w14:paraId="38AED13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259C31F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-1.200</w:t>
            </w:r>
          </w:p>
        </w:tc>
        <w:tc>
          <w:tcPr>
            <w:tcW w:w="294" w:type="dxa"/>
            <w:tcBorders>
              <w:top w:val="nil"/>
              <w:left w:val="nil"/>
              <w:bottom w:val="nil"/>
              <w:right w:val="nil"/>
            </w:tcBorders>
            <w:shd w:val="clear" w:color="000000" w:fill="FFFFFF"/>
            <w:noWrap/>
            <w:vAlign w:val="center"/>
            <w:hideMark/>
          </w:tcPr>
          <w:p w14:paraId="7435E9E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281E4450" w14:textId="77777777" w:rsidTr="00483C2E">
        <w:trPr>
          <w:trHeight w:val="320"/>
        </w:trPr>
        <w:tc>
          <w:tcPr>
            <w:tcW w:w="5734" w:type="dxa"/>
            <w:vMerge/>
            <w:tcBorders>
              <w:top w:val="nil"/>
              <w:left w:val="nil"/>
              <w:bottom w:val="nil"/>
              <w:right w:val="single" w:sz="4" w:space="0" w:color="auto"/>
            </w:tcBorders>
            <w:vAlign w:val="center"/>
            <w:hideMark/>
          </w:tcPr>
          <w:p w14:paraId="4E3EC931"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9B93BA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(4.229)</w:t>
            </w:r>
          </w:p>
        </w:tc>
        <w:tc>
          <w:tcPr>
            <w:tcW w:w="245" w:type="dxa"/>
            <w:tcBorders>
              <w:top w:val="nil"/>
              <w:left w:val="nil"/>
              <w:bottom w:val="nil"/>
              <w:right w:val="single" w:sz="4" w:space="0" w:color="auto"/>
            </w:tcBorders>
            <w:shd w:val="clear" w:color="000000" w:fill="FFFFFF"/>
            <w:noWrap/>
            <w:vAlign w:val="center"/>
            <w:hideMark/>
          </w:tcPr>
          <w:p w14:paraId="32329A9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w:t>
            </w:r>
          </w:p>
        </w:tc>
        <w:tc>
          <w:tcPr>
            <w:tcW w:w="953" w:type="dxa"/>
            <w:tcBorders>
              <w:top w:val="nil"/>
              <w:left w:val="nil"/>
              <w:bottom w:val="nil"/>
              <w:right w:val="nil"/>
            </w:tcBorders>
            <w:shd w:val="clear" w:color="000000" w:fill="FFFFFF"/>
            <w:noWrap/>
            <w:vAlign w:val="bottom"/>
            <w:hideMark/>
          </w:tcPr>
          <w:p w14:paraId="5A613E5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(4.229)</w:t>
            </w:r>
          </w:p>
        </w:tc>
        <w:tc>
          <w:tcPr>
            <w:tcW w:w="294" w:type="dxa"/>
            <w:tcBorders>
              <w:top w:val="nil"/>
              <w:left w:val="nil"/>
              <w:bottom w:val="nil"/>
              <w:right w:val="nil"/>
            </w:tcBorders>
            <w:shd w:val="clear" w:color="000000" w:fill="FFFFFF"/>
            <w:noWrap/>
            <w:vAlign w:val="center"/>
            <w:hideMark/>
          </w:tcPr>
          <w:p w14:paraId="5FA06A6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6848AB83"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C2F7D91"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+7</w:t>
            </w:r>
          </w:p>
        </w:tc>
        <w:tc>
          <w:tcPr>
            <w:tcW w:w="1234" w:type="dxa"/>
            <w:tcBorders>
              <w:top w:val="nil"/>
              <w:left w:val="nil"/>
              <w:bottom w:val="nil"/>
              <w:right w:val="nil"/>
            </w:tcBorders>
            <w:shd w:val="clear" w:color="000000" w:fill="FFFFFF"/>
            <w:noWrap/>
            <w:vAlign w:val="bottom"/>
            <w:hideMark/>
          </w:tcPr>
          <w:p w14:paraId="34F0E89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-0.921</w:t>
            </w:r>
          </w:p>
        </w:tc>
        <w:tc>
          <w:tcPr>
            <w:tcW w:w="245" w:type="dxa"/>
            <w:tcBorders>
              <w:top w:val="nil"/>
              <w:left w:val="nil"/>
              <w:bottom w:val="nil"/>
              <w:right w:val="single" w:sz="4" w:space="0" w:color="auto"/>
            </w:tcBorders>
            <w:shd w:val="clear" w:color="000000" w:fill="FFFFFF"/>
            <w:noWrap/>
            <w:vAlign w:val="center"/>
            <w:hideMark/>
          </w:tcPr>
          <w:p w14:paraId="191886B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5CF4A605"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-0.921</w:t>
            </w:r>
          </w:p>
        </w:tc>
        <w:tc>
          <w:tcPr>
            <w:tcW w:w="294" w:type="dxa"/>
            <w:tcBorders>
              <w:top w:val="nil"/>
              <w:left w:val="nil"/>
              <w:bottom w:val="nil"/>
              <w:right w:val="nil"/>
            </w:tcBorders>
            <w:shd w:val="clear" w:color="000000" w:fill="FFFFFF"/>
            <w:noWrap/>
            <w:vAlign w:val="center"/>
            <w:hideMark/>
          </w:tcPr>
          <w:p w14:paraId="3091E69C"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7D899143" w14:textId="77777777" w:rsidTr="00483C2E">
        <w:trPr>
          <w:trHeight w:val="320"/>
        </w:trPr>
        <w:tc>
          <w:tcPr>
            <w:tcW w:w="5734" w:type="dxa"/>
            <w:vMerge/>
            <w:tcBorders>
              <w:top w:val="nil"/>
              <w:left w:val="nil"/>
              <w:bottom w:val="nil"/>
              <w:right w:val="single" w:sz="4" w:space="0" w:color="auto"/>
            </w:tcBorders>
            <w:vAlign w:val="center"/>
            <w:hideMark/>
          </w:tcPr>
          <w:p w14:paraId="46E8AD50"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74D9F0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(4.293)</w:t>
            </w:r>
          </w:p>
        </w:tc>
        <w:tc>
          <w:tcPr>
            <w:tcW w:w="245" w:type="dxa"/>
            <w:tcBorders>
              <w:top w:val="nil"/>
              <w:left w:val="nil"/>
              <w:bottom w:val="nil"/>
              <w:right w:val="single" w:sz="4" w:space="0" w:color="auto"/>
            </w:tcBorders>
            <w:shd w:val="clear" w:color="000000" w:fill="FFFFFF"/>
            <w:noWrap/>
            <w:vAlign w:val="center"/>
            <w:hideMark/>
          </w:tcPr>
          <w:p w14:paraId="27DB3FB1"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12722D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(4.293)</w:t>
            </w:r>
          </w:p>
        </w:tc>
        <w:tc>
          <w:tcPr>
            <w:tcW w:w="294" w:type="dxa"/>
            <w:tcBorders>
              <w:top w:val="nil"/>
              <w:left w:val="nil"/>
              <w:bottom w:val="nil"/>
              <w:right w:val="nil"/>
            </w:tcBorders>
            <w:shd w:val="clear" w:color="000000" w:fill="FFFFFF"/>
            <w:noWrap/>
            <w:vAlign w:val="center"/>
            <w:hideMark/>
          </w:tcPr>
          <w:p w14:paraId="7570A57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2EECD862"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196A410"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+8</w:t>
            </w:r>
          </w:p>
        </w:tc>
        <w:tc>
          <w:tcPr>
            <w:tcW w:w="1234" w:type="dxa"/>
            <w:tcBorders>
              <w:top w:val="nil"/>
              <w:left w:val="nil"/>
              <w:bottom w:val="nil"/>
              <w:right w:val="nil"/>
            </w:tcBorders>
            <w:shd w:val="clear" w:color="000000" w:fill="FFFFFF"/>
            <w:noWrap/>
            <w:vAlign w:val="bottom"/>
            <w:hideMark/>
          </w:tcPr>
          <w:p w14:paraId="2B20C2D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-6.488</w:t>
            </w:r>
          </w:p>
        </w:tc>
        <w:tc>
          <w:tcPr>
            <w:tcW w:w="245" w:type="dxa"/>
            <w:tcBorders>
              <w:top w:val="nil"/>
              <w:left w:val="nil"/>
              <w:bottom w:val="nil"/>
              <w:right w:val="single" w:sz="4" w:space="0" w:color="auto"/>
            </w:tcBorders>
            <w:shd w:val="clear" w:color="000000" w:fill="FFFFFF"/>
            <w:noWrap/>
            <w:vAlign w:val="center"/>
            <w:hideMark/>
          </w:tcPr>
          <w:p w14:paraId="22E09C50"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1DD95E7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-6.488</w:t>
            </w:r>
          </w:p>
        </w:tc>
        <w:tc>
          <w:tcPr>
            <w:tcW w:w="294" w:type="dxa"/>
            <w:tcBorders>
              <w:top w:val="nil"/>
              <w:left w:val="nil"/>
              <w:bottom w:val="nil"/>
              <w:right w:val="nil"/>
            </w:tcBorders>
            <w:shd w:val="clear" w:color="000000" w:fill="FFFFFF"/>
            <w:noWrap/>
            <w:vAlign w:val="center"/>
            <w:hideMark/>
          </w:tcPr>
          <w:p w14:paraId="370AA871"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753BBDF4" w14:textId="77777777" w:rsidTr="00483C2E">
        <w:trPr>
          <w:trHeight w:val="320"/>
        </w:trPr>
        <w:tc>
          <w:tcPr>
            <w:tcW w:w="5734" w:type="dxa"/>
            <w:vMerge/>
            <w:tcBorders>
              <w:top w:val="nil"/>
              <w:left w:val="nil"/>
              <w:bottom w:val="nil"/>
              <w:right w:val="single" w:sz="4" w:space="0" w:color="auto"/>
            </w:tcBorders>
            <w:vAlign w:val="center"/>
            <w:hideMark/>
          </w:tcPr>
          <w:p w14:paraId="4F35FF91"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59A40F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(4.751)</w:t>
            </w:r>
          </w:p>
        </w:tc>
        <w:tc>
          <w:tcPr>
            <w:tcW w:w="245" w:type="dxa"/>
            <w:tcBorders>
              <w:top w:val="nil"/>
              <w:left w:val="nil"/>
              <w:bottom w:val="nil"/>
              <w:right w:val="single" w:sz="4" w:space="0" w:color="auto"/>
            </w:tcBorders>
            <w:shd w:val="clear" w:color="000000" w:fill="FFFFFF"/>
            <w:noWrap/>
            <w:vAlign w:val="center"/>
            <w:hideMark/>
          </w:tcPr>
          <w:p w14:paraId="69BAC454"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D0AB5B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(4.751)</w:t>
            </w:r>
          </w:p>
        </w:tc>
        <w:tc>
          <w:tcPr>
            <w:tcW w:w="294" w:type="dxa"/>
            <w:tcBorders>
              <w:top w:val="nil"/>
              <w:left w:val="nil"/>
              <w:bottom w:val="nil"/>
              <w:right w:val="nil"/>
            </w:tcBorders>
            <w:shd w:val="clear" w:color="000000" w:fill="FFFFFF"/>
            <w:noWrap/>
            <w:vAlign w:val="center"/>
            <w:hideMark/>
          </w:tcPr>
          <w:p w14:paraId="5EEAEABA"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0AF566DE"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0FF3386C"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+9</w:t>
            </w:r>
          </w:p>
        </w:tc>
        <w:tc>
          <w:tcPr>
            <w:tcW w:w="1234" w:type="dxa"/>
            <w:tcBorders>
              <w:top w:val="nil"/>
              <w:left w:val="nil"/>
              <w:bottom w:val="nil"/>
              <w:right w:val="nil"/>
            </w:tcBorders>
            <w:shd w:val="clear" w:color="000000" w:fill="FFFFFF"/>
            <w:noWrap/>
            <w:vAlign w:val="bottom"/>
            <w:hideMark/>
          </w:tcPr>
          <w:p w14:paraId="00C8479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-4.099</w:t>
            </w:r>
          </w:p>
        </w:tc>
        <w:tc>
          <w:tcPr>
            <w:tcW w:w="245" w:type="dxa"/>
            <w:tcBorders>
              <w:top w:val="nil"/>
              <w:left w:val="nil"/>
              <w:bottom w:val="nil"/>
              <w:right w:val="single" w:sz="4" w:space="0" w:color="auto"/>
            </w:tcBorders>
            <w:shd w:val="clear" w:color="000000" w:fill="FFFFFF"/>
            <w:noWrap/>
            <w:vAlign w:val="center"/>
            <w:hideMark/>
          </w:tcPr>
          <w:p w14:paraId="1E6F938C"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397C28F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-4.099</w:t>
            </w:r>
          </w:p>
        </w:tc>
        <w:tc>
          <w:tcPr>
            <w:tcW w:w="294" w:type="dxa"/>
            <w:tcBorders>
              <w:top w:val="nil"/>
              <w:left w:val="nil"/>
              <w:bottom w:val="nil"/>
              <w:right w:val="nil"/>
            </w:tcBorders>
            <w:shd w:val="clear" w:color="000000" w:fill="FFFFFF"/>
            <w:noWrap/>
            <w:vAlign w:val="center"/>
            <w:hideMark/>
          </w:tcPr>
          <w:p w14:paraId="6B3C7F88"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203643FA" w14:textId="77777777" w:rsidTr="00483C2E">
        <w:trPr>
          <w:trHeight w:val="320"/>
        </w:trPr>
        <w:tc>
          <w:tcPr>
            <w:tcW w:w="5734" w:type="dxa"/>
            <w:vMerge/>
            <w:tcBorders>
              <w:top w:val="nil"/>
              <w:left w:val="nil"/>
              <w:bottom w:val="nil"/>
              <w:right w:val="single" w:sz="4" w:space="0" w:color="auto"/>
            </w:tcBorders>
            <w:vAlign w:val="center"/>
            <w:hideMark/>
          </w:tcPr>
          <w:p w14:paraId="0377F9D7"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CB8608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(5.087)</w:t>
            </w:r>
          </w:p>
        </w:tc>
        <w:tc>
          <w:tcPr>
            <w:tcW w:w="245" w:type="dxa"/>
            <w:tcBorders>
              <w:top w:val="nil"/>
              <w:left w:val="nil"/>
              <w:bottom w:val="nil"/>
              <w:right w:val="single" w:sz="4" w:space="0" w:color="auto"/>
            </w:tcBorders>
            <w:shd w:val="clear" w:color="000000" w:fill="FFFFFF"/>
            <w:noWrap/>
            <w:vAlign w:val="center"/>
            <w:hideMark/>
          </w:tcPr>
          <w:p w14:paraId="385B25EE"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BCAF8F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(5.087)</w:t>
            </w:r>
          </w:p>
        </w:tc>
        <w:tc>
          <w:tcPr>
            <w:tcW w:w="294" w:type="dxa"/>
            <w:tcBorders>
              <w:top w:val="nil"/>
              <w:left w:val="nil"/>
              <w:bottom w:val="nil"/>
              <w:right w:val="nil"/>
            </w:tcBorders>
            <w:shd w:val="clear" w:color="000000" w:fill="FFFFFF"/>
            <w:noWrap/>
            <w:vAlign w:val="center"/>
            <w:hideMark/>
          </w:tcPr>
          <w:p w14:paraId="54BE364E"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6C34FDF1"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5CDA880A"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≥10</w:t>
            </w:r>
          </w:p>
        </w:tc>
        <w:tc>
          <w:tcPr>
            <w:tcW w:w="1234" w:type="dxa"/>
            <w:tcBorders>
              <w:top w:val="nil"/>
              <w:left w:val="nil"/>
              <w:bottom w:val="nil"/>
              <w:right w:val="nil"/>
            </w:tcBorders>
            <w:shd w:val="clear" w:color="000000" w:fill="FFFFFF"/>
            <w:noWrap/>
            <w:vAlign w:val="bottom"/>
            <w:hideMark/>
          </w:tcPr>
          <w:p w14:paraId="46A1C6A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-0.824</w:t>
            </w:r>
          </w:p>
        </w:tc>
        <w:tc>
          <w:tcPr>
            <w:tcW w:w="245" w:type="dxa"/>
            <w:tcBorders>
              <w:top w:val="nil"/>
              <w:left w:val="nil"/>
              <w:bottom w:val="nil"/>
              <w:right w:val="single" w:sz="4" w:space="0" w:color="auto"/>
            </w:tcBorders>
            <w:shd w:val="clear" w:color="000000" w:fill="FFFFFF"/>
            <w:noWrap/>
            <w:vAlign w:val="center"/>
            <w:hideMark/>
          </w:tcPr>
          <w:p w14:paraId="474E67B5"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25ED5456"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-0.824</w:t>
            </w:r>
          </w:p>
        </w:tc>
        <w:tc>
          <w:tcPr>
            <w:tcW w:w="294" w:type="dxa"/>
            <w:tcBorders>
              <w:top w:val="nil"/>
              <w:left w:val="nil"/>
              <w:bottom w:val="nil"/>
              <w:right w:val="nil"/>
            </w:tcBorders>
            <w:shd w:val="clear" w:color="000000" w:fill="FFFFFF"/>
            <w:noWrap/>
            <w:vAlign w:val="center"/>
            <w:hideMark/>
          </w:tcPr>
          <w:p w14:paraId="1CC928F5"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55F15542" w14:textId="77777777" w:rsidTr="00483C2E">
        <w:trPr>
          <w:trHeight w:val="320"/>
        </w:trPr>
        <w:tc>
          <w:tcPr>
            <w:tcW w:w="5734" w:type="dxa"/>
            <w:vMerge/>
            <w:tcBorders>
              <w:top w:val="nil"/>
              <w:left w:val="nil"/>
              <w:bottom w:val="nil"/>
              <w:right w:val="single" w:sz="4" w:space="0" w:color="auto"/>
            </w:tcBorders>
            <w:vAlign w:val="center"/>
            <w:hideMark/>
          </w:tcPr>
          <w:p w14:paraId="47FEF692"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B4607C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(4.183)</w:t>
            </w:r>
          </w:p>
        </w:tc>
        <w:tc>
          <w:tcPr>
            <w:tcW w:w="245" w:type="dxa"/>
            <w:tcBorders>
              <w:top w:val="nil"/>
              <w:left w:val="nil"/>
              <w:bottom w:val="nil"/>
              <w:right w:val="single" w:sz="4" w:space="0" w:color="auto"/>
            </w:tcBorders>
            <w:shd w:val="clear" w:color="000000" w:fill="FFFFFF"/>
            <w:noWrap/>
            <w:vAlign w:val="center"/>
            <w:hideMark/>
          </w:tcPr>
          <w:p w14:paraId="68A5DEE5"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E64E377"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(4.183)</w:t>
            </w:r>
          </w:p>
        </w:tc>
        <w:tc>
          <w:tcPr>
            <w:tcW w:w="294" w:type="dxa"/>
            <w:tcBorders>
              <w:top w:val="nil"/>
              <w:left w:val="nil"/>
              <w:bottom w:val="nil"/>
              <w:right w:val="nil"/>
            </w:tcBorders>
            <w:shd w:val="clear" w:color="000000" w:fill="FFFFFF"/>
            <w:noWrap/>
            <w:vAlign w:val="center"/>
            <w:hideMark/>
          </w:tcPr>
          <w:p w14:paraId="3F7711C4"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48DDCCDF"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660A2A4"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-2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644C230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0.222</w:t>
            </w:r>
          </w:p>
        </w:tc>
        <w:tc>
          <w:tcPr>
            <w:tcW w:w="245" w:type="dxa"/>
            <w:tcBorders>
              <w:top w:val="nil"/>
              <w:left w:val="nil"/>
              <w:bottom w:val="nil"/>
              <w:right w:val="single" w:sz="4" w:space="0" w:color="auto"/>
            </w:tcBorders>
            <w:shd w:val="clear" w:color="000000" w:fill="FFFFFF"/>
            <w:noWrap/>
            <w:vAlign w:val="center"/>
            <w:hideMark/>
          </w:tcPr>
          <w:p w14:paraId="57E7A465"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C9A9805"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0.222</w:t>
            </w:r>
          </w:p>
        </w:tc>
        <w:tc>
          <w:tcPr>
            <w:tcW w:w="294" w:type="dxa"/>
            <w:tcBorders>
              <w:top w:val="nil"/>
              <w:left w:val="nil"/>
              <w:bottom w:val="nil"/>
              <w:right w:val="nil"/>
            </w:tcBorders>
            <w:shd w:val="clear" w:color="000000" w:fill="FFFFFF"/>
            <w:noWrap/>
            <w:vAlign w:val="center"/>
            <w:hideMark/>
          </w:tcPr>
          <w:p w14:paraId="01C6F62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4B70E262" w14:textId="77777777" w:rsidTr="00483C2E">
        <w:trPr>
          <w:trHeight w:val="320"/>
        </w:trPr>
        <w:tc>
          <w:tcPr>
            <w:tcW w:w="5734" w:type="dxa"/>
            <w:vMerge/>
            <w:tcBorders>
              <w:top w:val="nil"/>
              <w:left w:val="nil"/>
              <w:bottom w:val="nil"/>
              <w:right w:val="single" w:sz="4" w:space="0" w:color="auto"/>
            </w:tcBorders>
            <w:vAlign w:val="center"/>
            <w:hideMark/>
          </w:tcPr>
          <w:p w14:paraId="00096248"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030C116B"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(4.346)</w:t>
            </w:r>
          </w:p>
        </w:tc>
        <w:tc>
          <w:tcPr>
            <w:tcW w:w="245" w:type="dxa"/>
            <w:tcBorders>
              <w:top w:val="nil"/>
              <w:left w:val="nil"/>
              <w:bottom w:val="nil"/>
              <w:right w:val="single" w:sz="4" w:space="0" w:color="auto"/>
            </w:tcBorders>
            <w:shd w:val="clear" w:color="000000" w:fill="FFFFFF"/>
            <w:noWrap/>
            <w:vAlign w:val="center"/>
            <w:hideMark/>
          </w:tcPr>
          <w:p w14:paraId="0104DE4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2CF6DC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(4.346)</w:t>
            </w:r>
          </w:p>
        </w:tc>
        <w:tc>
          <w:tcPr>
            <w:tcW w:w="294" w:type="dxa"/>
            <w:tcBorders>
              <w:top w:val="nil"/>
              <w:left w:val="nil"/>
              <w:bottom w:val="nil"/>
              <w:right w:val="nil"/>
            </w:tcBorders>
            <w:shd w:val="clear" w:color="000000" w:fill="FFFFFF"/>
            <w:noWrap/>
            <w:vAlign w:val="center"/>
            <w:hideMark/>
          </w:tcPr>
          <w:p w14:paraId="5AB4215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59B04583"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44A9B9D8"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-1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3E4B710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-4.612</w:t>
            </w:r>
          </w:p>
        </w:tc>
        <w:tc>
          <w:tcPr>
            <w:tcW w:w="245" w:type="dxa"/>
            <w:tcBorders>
              <w:top w:val="nil"/>
              <w:left w:val="nil"/>
              <w:bottom w:val="nil"/>
              <w:right w:val="single" w:sz="4" w:space="0" w:color="auto"/>
            </w:tcBorders>
            <w:shd w:val="clear" w:color="000000" w:fill="FFFFFF"/>
            <w:noWrap/>
            <w:vAlign w:val="center"/>
            <w:hideMark/>
          </w:tcPr>
          <w:p w14:paraId="6F3CFAE7"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1172617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-4.612</w:t>
            </w:r>
          </w:p>
        </w:tc>
        <w:tc>
          <w:tcPr>
            <w:tcW w:w="294" w:type="dxa"/>
            <w:tcBorders>
              <w:top w:val="nil"/>
              <w:left w:val="nil"/>
              <w:bottom w:val="nil"/>
              <w:right w:val="nil"/>
            </w:tcBorders>
            <w:shd w:val="clear" w:color="000000" w:fill="FFFFFF"/>
            <w:noWrap/>
            <w:vAlign w:val="center"/>
            <w:hideMark/>
          </w:tcPr>
          <w:p w14:paraId="6C10C05B"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620B248" w14:textId="77777777" w:rsidTr="00483C2E">
        <w:trPr>
          <w:trHeight w:val="320"/>
        </w:trPr>
        <w:tc>
          <w:tcPr>
            <w:tcW w:w="5734" w:type="dxa"/>
            <w:vMerge/>
            <w:tcBorders>
              <w:top w:val="nil"/>
              <w:left w:val="nil"/>
              <w:bottom w:val="nil"/>
              <w:right w:val="single" w:sz="4" w:space="0" w:color="auto"/>
            </w:tcBorders>
            <w:vAlign w:val="center"/>
            <w:hideMark/>
          </w:tcPr>
          <w:p w14:paraId="5A67A681"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56B7CA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(4.831)</w:t>
            </w:r>
          </w:p>
        </w:tc>
        <w:tc>
          <w:tcPr>
            <w:tcW w:w="245" w:type="dxa"/>
            <w:tcBorders>
              <w:top w:val="nil"/>
              <w:left w:val="nil"/>
              <w:bottom w:val="nil"/>
              <w:right w:val="single" w:sz="4" w:space="0" w:color="auto"/>
            </w:tcBorders>
            <w:shd w:val="clear" w:color="000000" w:fill="FFFFFF"/>
            <w:noWrap/>
            <w:vAlign w:val="center"/>
            <w:hideMark/>
          </w:tcPr>
          <w:p w14:paraId="1798F732"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624FF04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(4.831)</w:t>
            </w:r>
          </w:p>
        </w:tc>
        <w:tc>
          <w:tcPr>
            <w:tcW w:w="294" w:type="dxa"/>
            <w:tcBorders>
              <w:top w:val="nil"/>
              <w:left w:val="nil"/>
              <w:bottom w:val="nil"/>
              <w:right w:val="nil"/>
            </w:tcBorders>
            <w:shd w:val="clear" w:color="000000" w:fill="FFFFFF"/>
            <w:noWrap/>
            <w:vAlign w:val="center"/>
            <w:hideMark/>
          </w:tcPr>
          <w:p w14:paraId="2FC2FAEA"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7CC4F3A8"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0F6454BE"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0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1713B5A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-7.499</w:t>
            </w:r>
          </w:p>
        </w:tc>
        <w:tc>
          <w:tcPr>
            <w:tcW w:w="245" w:type="dxa"/>
            <w:tcBorders>
              <w:top w:val="nil"/>
              <w:left w:val="nil"/>
              <w:bottom w:val="nil"/>
              <w:right w:val="single" w:sz="4" w:space="0" w:color="auto"/>
            </w:tcBorders>
            <w:shd w:val="clear" w:color="000000" w:fill="FFFFFF"/>
            <w:noWrap/>
            <w:vAlign w:val="center"/>
            <w:hideMark/>
          </w:tcPr>
          <w:p w14:paraId="6A2D473F"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6132BD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-7.499</w:t>
            </w:r>
          </w:p>
        </w:tc>
        <w:tc>
          <w:tcPr>
            <w:tcW w:w="294" w:type="dxa"/>
            <w:tcBorders>
              <w:top w:val="nil"/>
              <w:left w:val="nil"/>
              <w:bottom w:val="nil"/>
              <w:right w:val="nil"/>
            </w:tcBorders>
            <w:shd w:val="clear" w:color="000000" w:fill="FFFFFF"/>
            <w:noWrap/>
            <w:vAlign w:val="center"/>
            <w:hideMark/>
          </w:tcPr>
          <w:p w14:paraId="08854C18"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7B80421" w14:textId="77777777" w:rsidTr="00483C2E">
        <w:trPr>
          <w:trHeight w:val="320"/>
        </w:trPr>
        <w:tc>
          <w:tcPr>
            <w:tcW w:w="5734" w:type="dxa"/>
            <w:vMerge/>
            <w:tcBorders>
              <w:top w:val="nil"/>
              <w:left w:val="nil"/>
              <w:bottom w:val="nil"/>
              <w:right w:val="single" w:sz="4" w:space="0" w:color="auto"/>
            </w:tcBorders>
            <w:vAlign w:val="center"/>
            <w:hideMark/>
          </w:tcPr>
          <w:p w14:paraId="2AC4640D"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4B3F0F7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(4.659)</w:t>
            </w:r>
          </w:p>
        </w:tc>
        <w:tc>
          <w:tcPr>
            <w:tcW w:w="245" w:type="dxa"/>
            <w:tcBorders>
              <w:top w:val="nil"/>
              <w:left w:val="nil"/>
              <w:bottom w:val="nil"/>
              <w:right w:val="single" w:sz="4" w:space="0" w:color="auto"/>
            </w:tcBorders>
            <w:shd w:val="clear" w:color="000000" w:fill="FFFFFF"/>
            <w:noWrap/>
            <w:vAlign w:val="center"/>
            <w:hideMark/>
          </w:tcPr>
          <w:p w14:paraId="4D41A378"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6A291ED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(4.659)</w:t>
            </w:r>
          </w:p>
        </w:tc>
        <w:tc>
          <w:tcPr>
            <w:tcW w:w="294" w:type="dxa"/>
            <w:tcBorders>
              <w:top w:val="nil"/>
              <w:left w:val="nil"/>
              <w:bottom w:val="nil"/>
              <w:right w:val="nil"/>
            </w:tcBorders>
            <w:shd w:val="clear" w:color="000000" w:fill="FFFFFF"/>
            <w:noWrap/>
            <w:vAlign w:val="center"/>
            <w:hideMark/>
          </w:tcPr>
          <w:p w14:paraId="4691F02F"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0137F060"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198343A7"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+1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5BC71317"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-3.455</w:t>
            </w:r>
          </w:p>
        </w:tc>
        <w:tc>
          <w:tcPr>
            <w:tcW w:w="245" w:type="dxa"/>
            <w:tcBorders>
              <w:top w:val="nil"/>
              <w:left w:val="nil"/>
              <w:bottom w:val="nil"/>
              <w:right w:val="single" w:sz="4" w:space="0" w:color="auto"/>
            </w:tcBorders>
            <w:shd w:val="clear" w:color="000000" w:fill="FFFFFF"/>
            <w:noWrap/>
            <w:vAlign w:val="center"/>
            <w:hideMark/>
          </w:tcPr>
          <w:p w14:paraId="7F3446BF"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138B1516"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-3.455</w:t>
            </w:r>
          </w:p>
        </w:tc>
        <w:tc>
          <w:tcPr>
            <w:tcW w:w="294" w:type="dxa"/>
            <w:tcBorders>
              <w:top w:val="nil"/>
              <w:left w:val="nil"/>
              <w:bottom w:val="nil"/>
              <w:right w:val="nil"/>
            </w:tcBorders>
            <w:shd w:val="clear" w:color="000000" w:fill="FFFFFF"/>
            <w:noWrap/>
            <w:vAlign w:val="center"/>
            <w:hideMark/>
          </w:tcPr>
          <w:p w14:paraId="59B49EAB"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566CF7FD" w14:textId="77777777" w:rsidTr="00483C2E">
        <w:trPr>
          <w:trHeight w:val="320"/>
        </w:trPr>
        <w:tc>
          <w:tcPr>
            <w:tcW w:w="5734" w:type="dxa"/>
            <w:vMerge/>
            <w:tcBorders>
              <w:top w:val="nil"/>
              <w:left w:val="nil"/>
              <w:bottom w:val="nil"/>
              <w:right w:val="single" w:sz="4" w:space="0" w:color="auto"/>
            </w:tcBorders>
            <w:vAlign w:val="center"/>
            <w:hideMark/>
          </w:tcPr>
          <w:p w14:paraId="5A0D35B7"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47D2991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(4.402)</w:t>
            </w:r>
          </w:p>
        </w:tc>
        <w:tc>
          <w:tcPr>
            <w:tcW w:w="245" w:type="dxa"/>
            <w:tcBorders>
              <w:top w:val="nil"/>
              <w:left w:val="nil"/>
              <w:bottom w:val="nil"/>
              <w:right w:val="single" w:sz="4" w:space="0" w:color="auto"/>
            </w:tcBorders>
            <w:shd w:val="clear" w:color="000000" w:fill="FFFFFF"/>
            <w:noWrap/>
            <w:vAlign w:val="center"/>
            <w:hideMark/>
          </w:tcPr>
          <w:p w14:paraId="75477346"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11E2A8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(4.402)</w:t>
            </w:r>
          </w:p>
        </w:tc>
        <w:tc>
          <w:tcPr>
            <w:tcW w:w="294" w:type="dxa"/>
            <w:tcBorders>
              <w:top w:val="nil"/>
              <w:left w:val="nil"/>
              <w:bottom w:val="nil"/>
              <w:right w:val="nil"/>
            </w:tcBorders>
            <w:shd w:val="clear" w:color="000000" w:fill="FFFFFF"/>
            <w:noWrap/>
            <w:vAlign w:val="center"/>
            <w:hideMark/>
          </w:tcPr>
          <w:p w14:paraId="0D53799B"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2315E997"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D728618"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+2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1D8F10C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-2.604</w:t>
            </w:r>
          </w:p>
        </w:tc>
        <w:tc>
          <w:tcPr>
            <w:tcW w:w="245" w:type="dxa"/>
            <w:tcBorders>
              <w:top w:val="nil"/>
              <w:left w:val="nil"/>
              <w:bottom w:val="nil"/>
              <w:right w:val="single" w:sz="4" w:space="0" w:color="auto"/>
            </w:tcBorders>
            <w:shd w:val="clear" w:color="000000" w:fill="FFFFFF"/>
            <w:noWrap/>
            <w:vAlign w:val="center"/>
            <w:hideMark/>
          </w:tcPr>
          <w:p w14:paraId="14825AE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67E6693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-2.604</w:t>
            </w:r>
          </w:p>
        </w:tc>
        <w:tc>
          <w:tcPr>
            <w:tcW w:w="294" w:type="dxa"/>
            <w:tcBorders>
              <w:top w:val="nil"/>
              <w:left w:val="nil"/>
              <w:bottom w:val="nil"/>
              <w:right w:val="nil"/>
            </w:tcBorders>
            <w:shd w:val="clear" w:color="000000" w:fill="FFFFFF"/>
            <w:noWrap/>
            <w:vAlign w:val="center"/>
            <w:hideMark/>
          </w:tcPr>
          <w:p w14:paraId="0D5F7B9D"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16D50632" w14:textId="77777777" w:rsidTr="00483C2E">
        <w:trPr>
          <w:trHeight w:val="320"/>
        </w:trPr>
        <w:tc>
          <w:tcPr>
            <w:tcW w:w="5734" w:type="dxa"/>
            <w:vMerge/>
            <w:tcBorders>
              <w:top w:val="nil"/>
              <w:left w:val="nil"/>
              <w:bottom w:val="nil"/>
              <w:right w:val="single" w:sz="4" w:space="0" w:color="auto"/>
            </w:tcBorders>
            <w:vAlign w:val="center"/>
            <w:hideMark/>
          </w:tcPr>
          <w:p w14:paraId="1AAEF823"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4572059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(5.415)</w:t>
            </w:r>
          </w:p>
        </w:tc>
        <w:tc>
          <w:tcPr>
            <w:tcW w:w="245" w:type="dxa"/>
            <w:tcBorders>
              <w:top w:val="nil"/>
              <w:left w:val="nil"/>
              <w:bottom w:val="nil"/>
              <w:right w:val="single" w:sz="4" w:space="0" w:color="auto"/>
            </w:tcBorders>
            <w:shd w:val="clear" w:color="000000" w:fill="FFFFFF"/>
            <w:noWrap/>
            <w:vAlign w:val="center"/>
            <w:hideMark/>
          </w:tcPr>
          <w:p w14:paraId="424E735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6AC7F0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(5.415)</w:t>
            </w:r>
          </w:p>
        </w:tc>
        <w:tc>
          <w:tcPr>
            <w:tcW w:w="294" w:type="dxa"/>
            <w:tcBorders>
              <w:top w:val="nil"/>
              <w:left w:val="nil"/>
              <w:bottom w:val="nil"/>
              <w:right w:val="nil"/>
            </w:tcBorders>
            <w:shd w:val="clear" w:color="000000" w:fill="FFFFFF"/>
            <w:noWrap/>
            <w:vAlign w:val="center"/>
            <w:hideMark/>
          </w:tcPr>
          <w:p w14:paraId="32919A31"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54F1C6A2"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055B6F14"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+3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1FC10D9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-3.343</w:t>
            </w:r>
          </w:p>
        </w:tc>
        <w:tc>
          <w:tcPr>
            <w:tcW w:w="245" w:type="dxa"/>
            <w:tcBorders>
              <w:top w:val="nil"/>
              <w:left w:val="nil"/>
              <w:bottom w:val="nil"/>
              <w:right w:val="single" w:sz="4" w:space="0" w:color="auto"/>
            </w:tcBorders>
            <w:shd w:val="clear" w:color="000000" w:fill="FFFFFF"/>
            <w:noWrap/>
            <w:vAlign w:val="center"/>
            <w:hideMark/>
          </w:tcPr>
          <w:p w14:paraId="4C33EE1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7F42C39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-3.343</w:t>
            </w:r>
          </w:p>
        </w:tc>
        <w:tc>
          <w:tcPr>
            <w:tcW w:w="294" w:type="dxa"/>
            <w:tcBorders>
              <w:top w:val="nil"/>
              <w:left w:val="nil"/>
              <w:bottom w:val="nil"/>
              <w:right w:val="nil"/>
            </w:tcBorders>
            <w:shd w:val="clear" w:color="000000" w:fill="FFFFFF"/>
            <w:noWrap/>
            <w:vAlign w:val="center"/>
            <w:hideMark/>
          </w:tcPr>
          <w:p w14:paraId="3F55AD9A"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5364190" w14:textId="77777777" w:rsidTr="00483C2E">
        <w:trPr>
          <w:trHeight w:val="320"/>
        </w:trPr>
        <w:tc>
          <w:tcPr>
            <w:tcW w:w="5734" w:type="dxa"/>
            <w:vMerge/>
            <w:tcBorders>
              <w:top w:val="nil"/>
              <w:left w:val="nil"/>
              <w:bottom w:val="nil"/>
              <w:right w:val="single" w:sz="4" w:space="0" w:color="auto"/>
            </w:tcBorders>
            <w:vAlign w:val="center"/>
            <w:hideMark/>
          </w:tcPr>
          <w:p w14:paraId="5A5E1EF3"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7D631E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(5.404)</w:t>
            </w:r>
          </w:p>
        </w:tc>
        <w:tc>
          <w:tcPr>
            <w:tcW w:w="245" w:type="dxa"/>
            <w:tcBorders>
              <w:top w:val="nil"/>
              <w:left w:val="nil"/>
              <w:bottom w:val="nil"/>
              <w:right w:val="single" w:sz="4" w:space="0" w:color="auto"/>
            </w:tcBorders>
            <w:shd w:val="clear" w:color="000000" w:fill="FFFFFF"/>
            <w:noWrap/>
            <w:vAlign w:val="center"/>
            <w:hideMark/>
          </w:tcPr>
          <w:p w14:paraId="1F45851F"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4910C90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(5.404)</w:t>
            </w:r>
          </w:p>
        </w:tc>
        <w:tc>
          <w:tcPr>
            <w:tcW w:w="294" w:type="dxa"/>
            <w:tcBorders>
              <w:top w:val="nil"/>
              <w:left w:val="nil"/>
              <w:bottom w:val="nil"/>
              <w:right w:val="nil"/>
            </w:tcBorders>
            <w:shd w:val="clear" w:color="000000" w:fill="FFFFFF"/>
            <w:noWrap/>
            <w:vAlign w:val="center"/>
            <w:hideMark/>
          </w:tcPr>
          <w:p w14:paraId="23FE1347"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216D83FC"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6D7E290C"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+4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1BF9953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-4.045</w:t>
            </w:r>
          </w:p>
        </w:tc>
        <w:tc>
          <w:tcPr>
            <w:tcW w:w="245" w:type="dxa"/>
            <w:tcBorders>
              <w:top w:val="nil"/>
              <w:left w:val="nil"/>
              <w:bottom w:val="nil"/>
              <w:right w:val="single" w:sz="4" w:space="0" w:color="auto"/>
            </w:tcBorders>
            <w:shd w:val="clear" w:color="000000" w:fill="FFFFFF"/>
            <w:noWrap/>
            <w:vAlign w:val="center"/>
            <w:hideMark/>
          </w:tcPr>
          <w:p w14:paraId="50DF23F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1B72CC2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-4.045</w:t>
            </w:r>
          </w:p>
        </w:tc>
        <w:tc>
          <w:tcPr>
            <w:tcW w:w="294" w:type="dxa"/>
            <w:tcBorders>
              <w:top w:val="nil"/>
              <w:left w:val="nil"/>
              <w:bottom w:val="nil"/>
              <w:right w:val="nil"/>
            </w:tcBorders>
            <w:shd w:val="clear" w:color="000000" w:fill="FFFFFF"/>
            <w:noWrap/>
            <w:vAlign w:val="center"/>
            <w:hideMark/>
          </w:tcPr>
          <w:p w14:paraId="1E0E30A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1387853" w14:textId="77777777" w:rsidTr="00483C2E">
        <w:trPr>
          <w:trHeight w:val="320"/>
        </w:trPr>
        <w:tc>
          <w:tcPr>
            <w:tcW w:w="5734" w:type="dxa"/>
            <w:vMerge/>
            <w:tcBorders>
              <w:top w:val="nil"/>
              <w:left w:val="nil"/>
              <w:bottom w:val="nil"/>
              <w:right w:val="single" w:sz="4" w:space="0" w:color="auto"/>
            </w:tcBorders>
            <w:vAlign w:val="center"/>
            <w:hideMark/>
          </w:tcPr>
          <w:p w14:paraId="016D240E"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530CE7D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(4.752)</w:t>
            </w:r>
          </w:p>
        </w:tc>
        <w:tc>
          <w:tcPr>
            <w:tcW w:w="245" w:type="dxa"/>
            <w:tcBorders>
              <w:top w:val="nil"/>
              <w:left w:val="nil"/>
              <w:bottom w:val="nil"/>
              <w:right w:val="single" w:sz="4" w:space="0" w:color="auto"/>
            </w:tcBorders>
            <w:shd w:val="clear" w:color="000000" w:fill="FFFFFF"/>
            <w:noWrap/>
            <w:vAlign w:val="center"/>
            <w:hideMark/>
          </w:tcPr>
          <w:p w14:paraId="31269971"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0D958C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(4.752)</w:t>
            </w:r>
          </w:p>
        </w:tc>
        <w:tc>
          <w:tcPr>
            <w:tcW w:w="294" w:type="dxa"/>
            <w:tcBorders>
              <w:top w:val="nil"/>
              <w:left w:val="nil"/>
              <w:bottom w:val="nil"/>
              <w:right w:val="nil"/>
            </w:tcBorders>
            <w:shd w:val="clear" w:color="000000" w:fill="FFFFFF"/>
            <w:noWrap/>
            <w:vAlign w:val="center"/>
            <w:hideMark/>
          </w:tcPr>
          <w:p w14:paraId="1D304E4C"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558E2690"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4E6CE344"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+5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42577CB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-1.683</w:t>
            </w:r>
          </w:p>
        </w:tc>
        <w:tc>
          <w:tcPr>
            <w:tcW w:w="245" w:type="dxa"/>
            <w:tcBorders>
              <w:top w:val="nil"/>
              <w:left w:val="nil"/>
              <w:bottom w:val="nil"/>
              <w:right w:val="single" w:sz="4" w:space="0" w:color="auto"/>
            </w:tcBorders>
            <w:shd w:val="clear" w:color="000000" w:fill="FFFFFF"/>
            <w:noWrap/>
            <w:vAlign w:val="center"/>
            <w:hideMark/>
          </w:tcPr>
          <w:p w14:paraId="31598B7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5347690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-1.683</w:t>
            </w:r>
          </w:p>
        </w:tc>
        <w:tc>
          <w:tcPr>
            <w:tcW w:w="294" w:type="dxa"/>
            <w:tcBorders>
              <w:top w:val="nil"/>
              <w:left w:val="nil"/>
              <w:bottom w:val="nil"/>
              <w:right w:val="nil"/>
            </w:tcBorders>
            <w:shd w:val="clear" w:color="000000" w:fill="FFFFFF"/>
            <w:noWrap/>
            <w:vAlign w:val="center"/>
            <w:hideMark/>
          </w:tcPr>
          <w:p w14:paraId="75944E5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596605C" w14:textId="77777777" w:rsidTr="00483C2E">
        <w:trPr>
          <w:trHeight w:val="320"/>
        </w:trPr>
        <w:tc>
          <w:tcPr>
            <w:tcW w:w="5734" w:type="dxa"/>
            <w:vMerge/>
            <w:tcBorders>
              <w:top w:val="nil"/>
              <w:left w:val="nil"/>
              <w:bottom w:val="nil"/>
              <w:right w:val="single" w:sz="4" w:space="0" w:color="auto"/>
            </w:tcBorders>
            <w:vAlign w:val="center"/>
            <w:hideMark/>
          </w:tcPr>
          <w:p w14:paraId="496A3CC0"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0BA974C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(5.470)</w:t>
            </w:r>
          </w:p>
        </w:tc>
        <w:tc>
          <w:tcPr>
            <w:tcW w:w="245" w:type="dxa"/>
            <w:tcBorders>
              <w:top w:val="nil"/>
              <w:left w:val="nil"/>
              <w:bottom w:val="nil"/>
              <w:right w:val="single" w:sz="4" w:space="0" w:color="auto"/>
            </w:tcBorders>
            <w:shd w:val="clear" w:color="000000" w:fill="FFFFFF"/>
            <w:noWrap/>
            <w:vAlign w:val="center"/>
            <w:hideMark/>
          </w:tcPr>
          <w:p w14:paraId="7EF2E19E"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46C661F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(5.470)</w:t>
            </w:r>
          </w:p>
        </w:tc>
        <w:tc>
          <w:tcPr>
            <w:tcW w:w="294" w:type="dxa"/>
            <w:tcBorders>
              <w:top w:val="nil"/>
              <w:left w:val="nil"/>
              <w:bottom w:val="nil"/>
              <w:right w:val="nil"/>
            </w:tcBorders>
            <w:shd w:val="clear" w:color="000000" w:fill="FFFFFF"/>
            <w:noWrap/>
            <w:vAlign w:val="center"/>
            <w:hideMark/>
          </w:tcPr>
          <w:p w14:paraId="43A9D67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1E948487"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54FB994A"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+6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53348CF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-0.132</w:t>
            </w:r>
          </w:p>
        </w:tc>
        <w:tc>
          <w:tcPr>
            <w:tcW w:w="245" w:type="dxa"/>
            <w:tcBorders>
              <w:top w:val="nil"/>
              <w:left w:val="nil"/>
              <w:bottom w:val="nil"/>
              <w:right w:val="single" w:sz="4" w:space="0" w:color="auto"/>
            </w:tcBorders>
            <w:shd w:val="clear" w:color="000000" w:fill="FFFFFF"/>
            <w:noWrap/>
            <w:vAlign w:val="center"/>
            <w:hideMark/>
          </w:tcPr>
          <w:p w14:paraId="2211AF5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1B803F86"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-0.132</w:t>
            </w:r>
          </w:p>
        </w:tc>
        <w:tc>
          <w:tcPr>
            <w:tcW w:w="294" w:type="dxa"/>
            <w:tcBorders>
              <w:top w:val="nil"/>
              <w:left w:val="nil"/>
              <w:bottom w:val="nil"/>
              <w:right w:val="nil"/>
            </w:tcBorders>
            <w:shd w:val="clear" w:color="000000" w:fill="FFFFFF"/>
            <w:noWrap/>
            <w:vAlign w:val="center"/>
            <w:hideMark/>
          </w:tcPr>
          <w:p w14:paraId="2211C3E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59214486" w14:textId="77777777" w:rsidTr="00483C2E">
        <w:trPr>
          <w:trHeight w:val="320"/>
        </w:trPr>
        <w:tc>
          <w:tcPr>
            <w:tcW w:w="5734" w:type="dxa"/>
            <w:vMerge/>
            <w:tcBorders>
              <w:top w:val="nil"/>
              <w:left w:val="nil"/>
              <w:bottom w:val="nil"/>
              <w:right w:val="single" w:sz="4" w:space="0" w:color="auto"/>
            </w:tcBorders>
            <w:vAlign w:val="center"/>
            <w:hideMark/>
          </w:tcPr>
          <w:p w14:paraId="42ACF733"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0094364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(5.679)</w:t>
            </w:r>
          </w:p>
        </w:tc>
        <w:tc>
          <w:tcPr>
            <w:tcW w:w="245" w:type="dxa"/>
            <w:tcBorders>
              <w:top w:val="nil"/>
              <w:left w:val="nil"/>
              <w:bottom w:val="nil"/>
              <w:right w:val="single" w:sz="4" w:space="0" w:color="auto"/>
            </w:tcBorders>
            <w:shd w:val="clear" w:color="000000" w:fill="FFFFFF"/>
            <w:noWrap/>
            <w:vAlign w:val="center"/>
            <w:hideMark/>
          </w:tcPr>
          <w:p w14:paraId="50F3C21F"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326B082A"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(5.679)</w:t>
            </w:r>
          </w:p>
        </w:tc>
        <w:tc>
          <w:tcPr>
            <w:tcW w:w="294" w:type="dxa"/>
            <w:tcBorders>
              <w:top w:val="nil"/>
              <w:left w:val="nil"/>
              <w:bottom w:val="nil"/>
              <w:right w:val="nil"/>
            </w:tcBorders>
            <w:shd w:val="clear" w:color="000000" w:fill="FFFFFF"/>
            <w:noWrap/>
            <w:vAlign w:val="center"/>
            <w:hideMark/>
          </w:tcPr>
          <w:p w14:paraId="4F24FD96"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26247494"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6C4EAB22"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+7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21082B1E"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-1.239</w:t>
            </w:r>
          </w:p>
        </w:tc>
        <w:tc>
          <w:tcPr>
            <w:tcW w:w="245" w:type="dxa"/>
            <w:tcBorders>
              <w:top w:val="nil"/>
              <w:left w:val="nil"/>
              <w:bottom w:val="nil"/>
              <w:right w:val="single" w:sz="4" w:space="0" w:color="auto"/>
            </w:tcBorders>
            <w:shd w:val="clear" w:color="000000" w:fill="FFFFFF"/>
            <w:noWrap/>
            <w:vAlign w:val="center"/>
            <w:hideMark/>
          </w:tcPr>
          <w:p w14:paraId="516AE9CD"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0D983764"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-1.239</w:t>
            </w:r>
          </w:p>
        </w:tc>
        <w:tc>
          <w:tcPr>
            <w:tcW w:w="294" w:type="dxa"/>
            <w:tcBorders>
              <w:top w:val="nil"/>
              <w:left w:val="nil"/>
              <w:bottom w:val="nil"/>
              <w:right w:val="nil"/>
            </w:tcBorders>
            <w:shd w:val="clear" w:color="000000" w:fill="FFFFFF"/>
            <w:noWrap/>
            <w:vAlign w:val="center"/>
            <w:hideMark/>
          </w:tcPr>
          <w:p w14:paraId="2391A99B"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6CA3B346" w14:textId="77777777" w:rsidTr="00483C2E">
        <w:trPr>
          <w:trHeight w:val="320"/>
        </w:trPr>
        <w:tc>
          <w:tcPr>
            <w:tcW w:w="5734" w:type="dxa"/>
            <w:vMerge/>
            <w:tcBorders>
              <w:top w:val="nil"/>
              <w:left w:val="nil"/>
              <w:bottom w:val="nil"/>
              <w:right w:val="single" w:sz="4" w:space="0" w:color="auto"/>
            </w:tcBorders>
            <w:vAlign w:val="center"/>
            <w:hideMark/>
          </w:tcPr>
          <w:p w14:paraId="5F99205D"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107B7E6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(4.245)</w:t>
            </w:r>
          </w:p>
        </w:tc>
        <w:tc>
          <w:tcPr>
            <w:tcW w:w="245" w:type="dxa"/>
            <w:tcBorders>
              <w:top w:val="nil"/>
              <w:left w:val="nil"/>
              <w:bottom w:val="nil"/>
              <w:right w:val="single" w:sz="4" w:space="0" w:color="auto"/>
            </w:tcBorders>
            <w:shd w:val="clear" w:color="000000" w:fill="FFFFFF"/>
            <w:noWrap/>
            <w:vAlign w:val="center"/>
            <w:hideMark/>
          </w:tcPr>
          <w:p w14:paraId="6CAC2CF9"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4462F37"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(4.245)</w:t>
            </w:r>
          </w:p>
        </w:tc>
        <w:tc>
          <w:tcPr>
            <w:tcW w:w="294" w:type="dxa"/>
            <w:tcBorders>
              <w:top w:val="nil"/>
              <w:left w:val="nil"/>
              <w:bottom w:val="nil"/>
              <w:right w:val="nil"/>
            </w:tcBorders>
            <w:shd w:val="clear" w:color="000000" w:fill="FFFFFF"/>
            <w:noWrap/>
            <w:vAlign w:val="center"/>
            <w:hideMark/>
          </w:tcPr>
          <w:p w14:paraId="338E140B"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62D6DD3F"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5F2176FE"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+8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21DEE423"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10.376</w:t>
            </w:r>
          </w:p>
        </w:tc>
        <w:tc>
          <w:tcPr>
            <w:tcW w:w="245" w:type="dxa"/>
            <w:tcBorders>
              <w:top w:val="nil"/>
              <w:left w:val="nil"/>
              <w:bottom w:val="nil"/>
              <w:right w:val="single" w:sz="4" w:space="0" w:color="auto"/>
            </w:tcBorders>
            <w:shd w:val="clear" w:color="000000" w:fill="FFFFFF"/>
            <w:noWrap/>
            <w:vAlign w:val="center"/>
            <w:hideMark/>
          </w:tcPr>
          <w:p w14:paraId="7EE2E1D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60FEC7C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10.376</w:t>
            </w:r>
          </w:p>
        </w:tc>
        <w:tc>
          <w:tcPr>
            <w:tcW w:w="294" w:type="dxa"/>
            <w:tcBorders>
              <w:top w:val="nil"/>
              <w:left w:val="nil"/>
              <w:bottom w:val="nil"/>
              <w:right w:val="nil"/>
            </w:tcBorders>
            <w:shd w:val="clear" w:color="000000" w:fill="FFFFFF"/>
            <w:noWrap/>
            <w:vAlign w:val="center"/>
            <w:hideMark/>
          </w:tcPr>
          <w:p w14:paraId="2941F814"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r>
      <w:tr w:rsidR="00483C2E" w:rsidRPr="00483C2E" w14:paraId="55429AF3" w14:textId="77777777" w:rsidTr="00483C2E">
        <w:trPr>
          <w:trHeight w:val="320"/>
        </w:trPr>
        <w:tc>
          <w:tcPr>
            <w:tcW w:w="5734" w:type="dxa"/>
            <w:vMerge/>
            <w:tcBorders>
              <w:top w:val="nil"/>
              <w:left w:val="nil"/>
              <w:bottom w:val="nil"/>
              <w:right w:val="single" w:sz="4" w:space="0" w:color="auto"/>
            </w:tcBorders>
            <w:vAlign w:val="center"/>
            <w:hideMark/>
          </w:tcPr>
          <w:p w14:paraId="67F2ACC0"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3DA2D0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(4.971)</w:t>
            </w:r>
          </w:p>
        </w:tc>
        <w:tc>
          <w:tcPr>
            <w:tcW w:w="245" w:type="dxa"/>
            <w:tcBorders>
              <w:top w:val="nil"/>
              <w:left w:val="nil"/>
              <w:bottom w:val="nil"/>
              <w:right w:val="single" w:sz="4" w:space="0" w:color="auto"/>
            </w:tcBorders>
            <w:shd w:val="clear" w:color="000000" w:fill="FFFFFF"/>
            <w:noWrap/>
            <w:vAlign w:val="center"/>
            <w:hideMark/>
          </w:tcPr>
          <w:p w14:paraId="43FF0365"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93211F5"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(4.971)</w:t>
            </w:r>
          </w:p>
        </w:tc>
        <w:tc>
          <w:tcPr>
            <w:tcW w:w="294" w:type="dxa"/>
            <w:tcBorders>
              <w:top w:val="nil"/>
              <w:left w:val="nil"/>
              <w:bottom w:val="nil"/>
              <w:right w:val="nil"/>
            </w:tcBorders>
            <w:shd w:val="clear" w:color="000000" w:fill="FFFFFF"/>
            <w:noWrap/>
            <w:vAlign w:val="center"/>
            <w:hideMark/>
          </w:tcPr>
          <w:p w14:paraId="00E7BCCC"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5319FADC"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773F48FF"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+9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51E0597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-3.305</w:t>
            </w:r>
          </w:p>
        </w:tc>
        <w:tc>
          <w:tcPr>
            <w:tcW w:w="245" w:type="dxa"/>
            <w:tcBorders>
              <w:top w:val="nil"/>
              <w:left w:val="nil"/>
              <w:bottom w:val="nil"/>
              <w:right w:val="single" w:sz="4" w:space="0" w:color="auto"/>
            </w:tcBorders>
            <w:shd w:val="clear" w:color="000000" w:fill="FFFFFF"/>
            <w:noWrap/>
            <w:vAlign w:val="center"/>
            <w:hideMark/>
          </w:tcPr>
          <w:p w14:paraId="26D4392A"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36A1D66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-3.305</w:t>
            </w:r>
          </w:p>
        </w:tc>
        <w:tc>
          <w:tcPr>
            <w:tcW w:w="294" w:type="dxa"/>
            <w:tcBorders>
              <w:top w:val="nil"/>
              <w:left w:val="nil"/>
              <w:bottom w:val="nil"/>
              <w:right w:val="nil"/>
            </w:tcBorders>
            <w:shd w:val="clear" w:color="000000" w:fill="FFFFFF"/>
            <w:noWrap/>
            <w:vAlign w:val="center"/>
            <w:hideMark/>
          </w:tcPr>
          <w:p w14:paraId="79ABE91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09C30A0F" w14:textId="77777777" w:rsidTr="00483C2E">
        <w:trPr>
          <w:trHeight w:val="320"/>
        </w:trPr>
        <w:tc>
          <w:tcPr>
            <w:tcW w:w="5734" w:type="dxa"/>
            <w:vMerge/>
            <w:tcBorders>
              <w:top w:val="nil"/>
              <w:left w:val="nil"/>
              <w:bottom w:val="nil"/>
              <w:right w:val="single" w:sz="4" w:space="0" w:color="auto"/>
            </w:tcBorders>
            <w:vAlign w:val="center"/>
            <w:hideMark/>
          </w:tcPr>
          <w:p w14:paraId="26B9AC28"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C0E3307"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(5.428)</w:t>
            </w:r>
          </w:p>
        </w:tc>
        <w:tc>
          <w:tcPr>
            <w:tcW w:w="245" w:type="dxa"/>
            <w:tcBorders>
              <w:top w:val="nil"/>
              <w:left w:val="nil"/>
              <w:bottom w:val="nil"/>
              <w:right w:val="single" w:sz="4" w:space="0" w:color="auto"/>
            </w:tcBorders>
            <w:shd w:val="clear" w:color="000000" w:fill="FFFFFF"/>
            <w:noWrap/>
            <w:vAlign w:val="center"/>
            <w:hideMark/>
          </w:tcPr>
          <w:p w14:paraId="07C86BB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2ED9DD1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(5.428)</w:t>
            </w:r>
          </w:p>
        </w:tc>
        <w:tc>
          <w:tcPr>
            <w:tcW w:w="294" w:type="dxa"/>
            <w:tcBorders>
              <w:top w:val="nil"/>
              <w:left w:val="nil"/>
              <w:bottom w:val="nil"/>
              <w:right w:val="nil"/>
            </w:tcBorders>
            <w:shd w:val="clear" w:color="000000" w:fill="FFFFFF"/>
            <w:noWrap/>
            <w:vAlign w:val="center"/>
            <w:hideMark/>
          </w:tcPr>
          <w:p w14:paraId="7704AF39"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068CE0E3"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1A6587BD"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Coresidence</w:t>
            </w:r>
            <w:r w:rsidRPr="00483C2E">
              <w:rPr>
                <w:rFonts w:ascii="Times New Roman" w:eastAsia="Times New Roman" w:hAnsi="Times New Roman" w:cs="Times New Roman"/>
                <w:sz w:val="24"/>
                <w:szCs w:val="24"/>
                <w:vertAlign w:val="subscript"/>
              </w:rPr>
              <w:t xml:space="preserve">≥10 </w:t>
            </w:r>
            <w:r w:rsidRPr="00483C2E">
              <w:rPr>
                <w:rFonts w:ascii="Times New Roman" w:eastAsia="Times New Roman" w:hAnsi="Times New Roman" w:cs="Times New Roman"/>
                <w:sz w:val="24"/>
                <w:szCs w:val="24"/>
              </w:rPr>
              <w:t>× Originally Female College</w:t>
            </w:r>
          </w:p>
        </w:tc>
        <w:tc>
          <w:tcPr>
            <w:tcW w:w="1234" w:type="dxa"/>
            <w:tcBorders>
              <w:top w:val="nil"/>
              <w:left w:val="nil"/>
              <w:bottom w:val="nil"/>
              <w:right w:val="nil"/>
            </w:tcBorders>
            <w:shd w:val="clear" w:color="000000" w:fill="FFFFFF"/>
            <w:noWrap/>
            <w:vAlign w:val="bottom"/>
            <w:hideMark/>
          </w:tcPr>
          <w:p w14:paraId="4415308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-2.113</w:t>
            </w:r>
          </w:p>
        </w:tc>
        <w:tc>
          <w:tcPr>
            <w:tcW w:w="245" w:type="dxa"/>
            <w:tcBorders>
              <w:top w:val="nil"/>
              <w:left w:val="nil"/>
              <w:bottom w:val="nil"/>
              <w:right w:val="single" w:sz="4" w:space="0" w:color="auto"/>
            </w:tcBorders>
            <w:shd w:val="clear" w:color="000000" w:fill="FFFFFF"/>
            <w:noWrap/>
            <w:vAlign w:val="center"/>
            <w:hideMark/>
          </w:tcPr>
          <w:p w14:paraId="7BF3A732"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c>
          <w:tcPr>
            <w:tcW w:w="953" w:type="dxa"/>
            <w:tcBorders>
              <w:top w:val="nil"/>
              <w:left w:val="nil"/>
              <w:bottom w:val="nil"/>
              <w:right w:val="nil"/>
            </w:tcBorders>
            <w:shd w:val="clear" w:color="000000" w:fill="FFFFFF"/>
            <w:noWrap/>
            <w:vAlign w:val="bottom"/>
            <w:hideMark/>
          </w:tcPr>
          <w:p w14:paraId="4D62288B"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-2.113</w:t>
            </w:r>
          </w:p>
        </w:tc>
        <w:tc>
          <w:tcPr>
            <w:tcW w:w="294" w:type="dxa"/>
            <w:tcBorders>
              <w:top w:val="nil"/>
              <w:left w:val="nil"/>
              <w:bottom w:val="nil"/>
              <w:right w:val="nil"/>
            </w:tcBorders>
            <w:shd w:val="clear" w:color="000000" w:fill="FFFFFF"/>
            <w:noWrap/>
            <w:vAlign w:val="center"/>
            <w:hideMark/>
          </w:tcPr>
          <w:p w14:paraId="49BA2E3E"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 xml:space="preserve">   </w:t>
            </w:r>
          </w:p>
        </w:tc>
      </w:tr>
      <w:tr w:rsidR="00483C2E" w:rsidRPr="00483C2E" w14:paraId="2363F882" w14:textId="77777777" w:rsidTr="00483C2E">
        <w:trPr>
          <w:trHeight w:val="320"/>
        </w:trPr>
        <w:tc>
          <w:tcPr>
            <w:tcW w:w="5734" w:type="dxa"/>
            <w:vMerge/>
            <w:tcBorders>
              <w:top w:val="nil"/>
              <w:left w:val="nil"/>
              <w:bottom w:val="nil"/>
              <w:right w:val="single" w:sz="4" w:space="0" w:color="auto"/>
            </w:tcBorders>
            <w:vAlign w:val="center"/>
            <w:hideMark/>
          </w:tcPr>
          <w:p w14:paraId="659C0834"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2DF3A56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(4.069)</w:t>
            </w:r>
          </w:p>
        </w:tc>
        <w:tc>
          <w:tcPr>
            <w:tcW w:w="245" w:type="dxa"/>
            <w:tcBorders>
              <w:top w:val="nil"/>
              <w:left w:val="nil"/>
              <w:bottom w:val="nil"/>
              <w:right w:val="single" w:sz="4" w:space="0" w:color="auto"/>
            </w:tcBorders>
            <w:shd w:val="clear" w:color="000000" w:fill="FFFFFF"/>
            <w:noWrap/>
            <w:vAlign w:val="center"/>
            <w:hideMark/>
          </w:tcPr>
          <w:p w14:paraId="771C690E"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7F730BB"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(4.069)</w:t>
            </w:r>
          </w:p>
        </w:tc>
        <w:tc>
          <w:tcPr>
            <w:tcW w:w="294" w:type="dxa"/>
            <w:tcBorders>
              <w:top w:val="nil"/>
              <w:left w:val="nil"/>
              <w:bottom w:val="nil"/>
              <w:right w:val="nil"/>
            </w:tcBorders>
            <w:shd w:val="clear" w:color="000000" w:fill="FFFFFF"/>
            <w:noWrap/>
            <w:vAlign w:val="center"/>
            <w:hideMark/>
          </w:tcPr>
          <w:p w14:paraId="0115261E"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4F0D3C71" w14:textId="77777777" w:rsidTr="00483C2E">
        <w:trPr>
          <w:trHeight w:val="320"/>
        </w:trPr>
        <w:tc>
          <w:tcPr>
            <w:tcW w:w="5734" w:type="dxa"/>
            <w:vMerge w:val="restart"/>
            <w:tcBorders>
              <w:top w:val="nil"/>
              <w:left w:val="nil"/>
              <w:bottom w:val="nil"/>
              <w:right w:val="single" w:sz="4" w:space="0" w:color="auto"/>
            </w:tcBorders>
            <w:shd w:val="clear" w:color="FFF58C" w:fill="FFFFFF"/>
            <w:noWrap/>
            <w:vAlign w:val="center"/>
            <w:hideMark/>
          </w:tcPr>
          <w:p w14:paraId="4D416220" w14:textId="77777777" w:rsidR="00483C2E" w:rsidRPr="00483C2E" w:rsidRDefault="00483C2E" w:rsidP="00483C2E">
            <w:pPr>
              <w:spacing w:after="0" w:line="240" w:lineRule="auto"/>
              <w:rPr>
                <w:rFonts w:ascii="Times New Roman" w:eastAsia="Times New Roman" w:hAnsi="Times New Roman" w:cs="Times New Roman"/>
                <w:color w:val="000000"/>
                <w:sz w:val="24"/>
                <w:szCs w:val="24"/>
              </w:rPr>
            </w:pPr>
            <w:r w:rsidRPr="00483C2E">
              <w:rPr>
                <w:rFonts w:ascii="Times New Roman" w:eastAsia="Times New Roman" w:hAnsi="Times New Roman" w:cs="Times New Roman"/>
                <w:color w:val="000000"/>
                <w:sz w:val="24"/>
                <w:szCs w:val="24"/>
              </w:rPr>
              <w:t>Percent Female Faculty</w:t>
            </w:r>
          </w:p>
        </w:tc>
        <w:tc>
          <w:tcPr>
            <w:tcW w:w="1234" w:type="dxa"/>
            <w:tcBorders>
              <w:top w:val="nil"/>
              <w:left w:val="nil"/>
              <w:bottom w:val="nil"/>
              <w:right w:val="nil"/>
            </w:tcBorders>
            <w:shd w:val="clear" w:color="000000" w:fill="FFFFFF"/>
            <w:noWrap/>
            <w:vAlign w:val="bottom"/>
            <w:hideMark/>
          </w:tcPr>
          <w:p w14:paraId="605E553B"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1.178 </w:t>
            </w:r>
          </w:p>
        </w:tc>
        <w:tc>
          <w:tcPr>
            <w:tcW w:w="245" w:type="dxa"/>
            <w:tcBorders>
              <w:top w:val="nil"/>
              <w:left w:val="nil"/>
              <w:bottom w:val="nil"/>
              <w:right w:val="single" w:sz="4" w:space="0" w:color="auto"/>
            </w:tcBorders>
            <w:shd w:val="clear" w:color="000000" w:fill="FFFFFF"/>
            <w:noWrap/>
            <w:vAlign w:val="center"/>
            <w:hideMark/>
          </w:tcPr>
          <w:p w14:paraId="1DF8944C"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645DF59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1.178 </w:t>
            </w:r>
          </w:p>
        </w:tc>
        <w:tc>
          <w:tcPr>
            <w:tcW w:w="294" w:type="dxa"/>
            <w:tcBorders>
              <w:top w:val="nil"/>
              <w:left w:val="nil"/>
              <w:bottom w:val="nil"/>
              <w:right w:val="nil"/>
            </w:tcBorders>
            <w:shd w:val="clear" w:color="000000" w:fill="FFFFFF"/>
            <w:noWrap/>
            <w:vAlign w:val="center"/>
            <w:hideMark/>
          </w:tcPr>
          <w:p w14:paraId="03A43EE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4307E1B1" w14:textId="77777777" w:rsidTr="00483C2E">
        <w:trPr>
          <w:trHeight w:val="320"/>
        </w:trPr>
        <w:tc>
          <w:tcPr>
            <w:tcW w:w="5734" w:type="dxa"/>
            <w:vMerge/>
            <w:tcBorders>
              <w:top w:val="nil"/>
              <w:left w:val="nil"/>
              <w:bottom w:val="nil"/>
              <w:right w:val="single" w:sz="4" w:space="0" w:color="auto"/>
            </w:tcBorders>
            <w:vAlign w:val="center"/>
            <w:hideMark/>
          </w:tcPr>
          <w:p w14:paraId="49D49ACF" w14:textId="77777777" w:rsidR="00483C2E" w:rsidRPr="00483C2E" w:rsidRDefault="00483C2E" w:rsidP="00483C2E">
            <w:pPr>
              <w:spacing w:after="0" w:line="240" w:lineRule="auto"/>
              <w:rPr>
                <w:rFonts w:ascii="Times New Roman" w:eastAsia="Times New Roman" w:hAnsi="Times New Roman" w:cs="Times New Roman"/>
                <w:color w:val="000000"/>
                <w:sz w:val="24"/>
                <w:szCs w:val="24"/>
              </w:rPr>
            </w:pPr>
          </w:p>
        </w:tc>
        <w:tc>
          <w:tcPr>
            <w:tcW w:w="1234" w:type="dxa"/>
            <w:tcBorders>
              <w:top w:val="nil"/>
              <w:left w:val="nil"/>
              <w:bottom w:val="nil"/>
              <w:right w:val="nil"/>
            </w:tcBorders>
            <w:shd w:val="clear" w:color="000000" w:fill="FFFFFF"/>
            <w:noWrap/>
            <w:vAlign w:val="bottom"/>
            <w:hideMark/>
          </w:tcPr>
          <w:p w14:paraId="7C43D648"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(4.929)</w:t>
            </w:r>
          </w:p>
        </w:tc>
        <w:tc>
          <w:tcPr>
            <w:tcW w:w="245" w:type="dxa"/>
            <w:tcBorders>
              <w:top w:val="nil"/>
              <w:left w:val="nil"/>
              <w:bottom w:val="nil"/>
              <w:right w:val="single" w:sz="4" w:space="0" w:color="auto"/>
            </w:tcBorders>
            <w:shd w:val="clear" w:color="000000" w:fill="FFFFFF"/>
            <w:noWrap/>
            <w:vAlign w:val="center"/>
            <w:hideMark/>
          </w:tcPr>
          <w:p w14:paraId="51807540"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481F0412"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(4.929)</w:t>
            </w:r>
          </w:p>
        </w:tc>
        <w:tc>
          <w:tcPr>
            <w:tcW w:w="294" w:type="dxa"/>
            <w:tcBorders>
              <w:top w:val="nil"/>
              <w:left w:val="nil"/>
              <w:bottom w:val="nil"/>
              <w:right w:val="nil"/>
            </w:tcBorders>
            <w:shd w:val="clear" w:color="000000" w:fill="FFFFFF"/>
            <w:noWrap/>
            <w:vAlign w:val="center"/>
            <w:hideMark/>
          </w:tcPr>
          <w:p w14:paraId="68EC0EFD"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2FDADC5F"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206A1EB7"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Male Head of College</w:t>
            </w:r>
          </w:p>
        </w:tc>
        <w:tc>
          <w:tcPr>
            <w:tcW w:w="1234" w:type="dxa"/>
            <w:tcBorders>
              <w:top w:val="nil"/>
              <w:left w:val="nil"/>
              <w:bottom w:val="nil"/>
              <w:right w:val="nil"/>
            </w:tcBorders>
            <w:shd w:val="clear" w:color="000000" w:fill="FFFFFF"/>
            <w:noWrap/>
            <w:vAlign w:val="bottom"/>
            <w:hideMark/>
          </w:tcPr>
          <w:p w14:paraId="22291D09"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-1.917</w:t>
            </w:r>
          </w:p>
        </w:tc>
        <w:tc>
          <w:tcPr>
            <w:tcW w:w="245" w:type="dxa"/>
            <w:tcBorders>
              <w:top w:val="nil"/>
              <w:left w:val="nil"/>
              <w:bottom w:val="nil"/>
              <w:right w:val="single" w:sz="4" w:space="0" w:color="auto"/>
            </w:tcBorders>
            <w:shd w:val="clear" w:color="000000" w:fill="FFFFFF"/>
            <w:noWrap/>
            <w:vAlign w:val="center"/>
            <w:hideMark/>
          </w:tcPr>
          <w:p w14:paraId="1E4BB1D9"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c>
          <w:tcPr>
            <w:tcW w:w="953" w:type="dxa"/>
            <w:tcBorders>
              <w:top w:val="nil"/>
              <w:left w:val="nil"/>
              <w:bottom w:val="nil"/>
              <w:right w:val="nil"/>
            </w:tcBorders>
            <w:shd w:val="clear" w:color="000000" w:fill="FFFFFF"/>
            <w:noWrap/>
            <w:vAlign w:val="bottom"/>
            <w:hideMark/>
          </w:tcPr>
          <w:p w14:paraId="58F2818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-1.917</w:t>
            </w:r>
          </w:p>
        </w:tc>
        <w:tc>
          <w:tcPr>
            <w:tcW w:w="294" w:type="dxa"/>
            <w:tcBorders>
              <w:top w:val="nil"/>
              <w:left w:val="nil"/>
              <w:bottom w:val="nil"/>
              <w:right w:val="nil"/>
            </w:tcBorders>
            <w:shd w:val="clear" w:color="000000" w:fill="FFFFFF"/>
            <w:noWrap/>
            <w:vAlign w:val="center"/>
            <w:hideMark/>
          </w:tcPr>
          <w:p w14:paraId="6A613FD6"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r>
      <w:tr w:rsidR="00483C2E" w:rsidRPr="00483C2E" w14:paraId="29A9B16C" w14:textId="77777777" w:rsidTr="00483C2E">
        <w:trPr>
          <w:trHeight w:val="320"/>
        </w:trPr>
        <w:tc>
          <w:tcPr>
            <w:tcW w:w="5734" w:type="dxa"/>
            <w:vMerge/>
            <w:tcBorders>
              <w:top w:val="nil"/>
              <w:left w:val="nil"/>
              <w:bottom w:val="nil"/>
              <w:right w:val="single" w:sz="4" w:space="0" w:color="auto"/>
            </w:tcBorders>
            <w:vAlign w:val="center"/>
            <w:hideMark/>
          </w:tcPr>
          <w:p w14:paraId="7A44E400"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3FEBDCB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(0.864)</w:t>
            </w:r>
          </w:p>
        </w:tc>
        <w:tc>
          <w:tcPr>
            <w:tcW w:w="245" w:type="dxa"/>
            <w:tcBorders>
              <w:top w:val="nil"/>
              <w:left w:val="nil"/>
              <w:bottom w:val="nil"/>
              <w:right w:val="single" w:sz="4" w:space="0" w:color="auto"/>
            </w:tcBorders>
            <w:shd w:val="clear" w:color="000000" w:fill="FFFFFF"/>
            <w:noWrap/>
            <w:vAlign w:val="center"/>
            <w:hideMark/>
          </w:tcPr>
          <w:p w14:paraId="568051E5"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13D2951C"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(0.864)</w:t>
            </w:r>
          </w:p>
        </w:tc>
        <w:tc>
          <w:tcPr>
            <w:tcW w:w="294" w:type="dxa"/>
            <w:tcBorders>
              <w:top w:val="nil"/>
              <w:left w:val="nil"/>
              <w:bottom w:val="nil"/>
              <w:right w:val="nil"/>
            </w:tcBorders>
            <w:shd w:val="clear" w:color="000000" w:fill="FFFFFF"/>
            <w:noWrap/>
            <w:vAlign w:val="center"/>
            <w:hideMark/>
          </w:tcPr>
          <w:p w14:paraId="10AF21A0"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32641F57" w14:textId="77777777" w:rsidTr="00483C2E">
        <w:trPr>
          <w:trHeight w:val="320"/>
        </w:trPr>
        <w:tc>
          <w:tcPr>
            <w:tcW w:w="5734" w:type="dxa"/>
            <w:vMerge w:val="restart"/>
            <w:tcBorders>
              <w:top w:val="nil"/>
              <w:left w:val="nil"/>
              <w:bottom w:val="nil"/>
              <w:right w:val="single" w:sz="4" w:space="0" w:color="auto"/>
            </w:tcBorders>
            <w:shd w:val="clear" w:color="000000" w:fill="FFFFFF"/>
            <w:vAlign w:val="center"/>
            <w:hideMark/>
          </w:tcPr>
          <w:p w14:paraId="6E083BD9"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Not coresident in 1974 x I(Year ≥ 1974)</w:t>
            </w:r>
          </w:p>
        </w:tc>
        <w:tc>
          <w:tcPr>
            <w:tcW w:w="1234" w:type="dxa"/>
            <w:tcBorders>
              <w:top w:val="nil"/>
              <w:left w:val="nil"/>
              <w:bottom w:val="nil"/>
              <w:right w:val="nil"/>
            </w:tcBorders>
            <w:shd w:val="clear" w:color="000000" w:fill="FFFFFF"/>
            <w:noWrap/>
            <w:vAlign w:val="bottom"/>
            <w:hideMark/>
          </w:tcPr>
          <w:p w14:paraId="4CECD5D6" w14:textId="77777777" w:rsidR="00483C2E" w:rsidRPr="00483C2E" w:rsidRDefault="00483C2E" w:rsidP="00483C2E">
            <w:pPr>
              <w:spacing w:after="0" w:line="240" w:lineRule="auto"/>
              <w:jc w:val="center"/>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                 -</w:t>
            </w:r>
          </w:p>
        </w:tc>
        <w:tc>
          <w:tcPr>
            <w:tcW w:w="245" w:type="dxa"/>
            <w:tcBorders>
              <w:top w:val="nil"/>
              <w:left w:val="nil"/>
              <w:bottom w:val="nil"/>
              <w:right w:val="single" w:sz="4" w:space="0" w:color="auto"/>
            </w:tcBorders>
            <w:shd w:val="clear" w:color="000000" w:fill="FFFFFF"/>
            <w:noWrap/>
            <w:vAlign w:val="center"/>
            <w:hideMark/>
          </w:tcPr>
          <w:p w14:paraId="34D46310"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2E91B01"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-2.957</w:t>
            </w:r>
          </w:p>
        </w:tc>
        <w:tc>
          <w:tcPr>
            <w:tcW w:w="294" w:type="dxa"/>
            <w:tcBorders>
              <w:top w:val="nil"/>
              <w:left w:val="nil"/>
              <w:bottom w:val="nil"/>
              <w:right w:val="nil"/>
            </w:tcBorders>
            <w:shd w:val="clear" w:color="000000" w:fill="FFFFFF"/>
            <w:noWrap/>
            <w:vAlign w:val="center"/>
            <w:hideMark/>
          </w:tcPr>
          <w:p w14:paraId="53BDC60F"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r>
      <w:tr w:rsidR="00483C2E" w:rsidRPr="00483C2E" w14:paraId="73FAD00D" w14:textId="77777777" w:rsidTr="00483C2E">
        <w:trPr>
          <w:trHeight w:val="320"/>
        </w:trPr>
        <w:tc>
          <w:tcPr>
            <w:tcW w:w="5734" w:type="dxa"/>
            <w:vMerge/>
            <w:tcBorders>
              <w:top w:val="nil"/>
              <w:left w:val="nil"/>
              <w:bottom w:val="nil"/>
              <w:right w:val="single" w:sz="4" w:space="0" w:color="auto"/>
            </w:tcBorders>
            <w:vAlign w:val="center"/>
            <w:hideMark/>
          </w:tcPr>
          <w:p w14:paraId="46132A0A"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nil"/>
              <w:right w:val="nil"/>
            </w:tcBorders>
            <w:shd w:val="clear" w:color="000000" w:fill="FFFFFF"/>
            <w:noWrap/>
            <w:vAlign w:val="bottom"/>
            <w:hideMark/>
          </w:tcPr>
          <w:p w14:paraId="6840AEE0"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w:t>
            </w:r>
          </w:p>
        </w:tc>
        <w:tc>
          <w:tcPr>
            <w:tcW w:w="245" w:type="dxa"/>
            <w:tcBorders>
              <w:top w:val="nil"/>
              <w:left w:val="nil"/>
              <w:bottom w:val="nil"/>
              <w:right w:val="single" w:sz="4" w:space="0" w:color="auto"/>
            </w:tcBorders>
            <w:shd w:val="clear" w:color="000000" w:fill="FFFFFF"/>
            <w:noWrap/>
            <w:vAlign w:val="center"/>
            <w:hideMark/>
          </w:tcPr>
          <w:p w14:paraId="1481C12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0DB158F"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(1.480)</w:t>
            </w:r>
          </w:p>
        </w:tc>
        <w:tc>
          <w:tcPr>
            <w:tcW w:w="294" w:type="dxa"/>
            <w:tcBorders>
              <w:top w:val="nil"/>
              <w:left w:val="nil"/>
              <w:bottom w:val="nil"/>
              <w:right w:val="nil"/>
            </w:tcBorders>
            <w:shd w:val="clear" w:color="000000" w:fill="FFFFFF"/>
            <w:noWrap/>
            <w:vAlign w:val="center"/>
            <w:hideMark/>
          </w:tcPr>
          <w:p w14:paraId="7FD6F17A"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053BA472" w14:textId="77777777" w:rsidTr="00483C2E">
        <w:trPr>
          <w:trHeight w:val="320"/>
        </w:trPr>
        <w:tc>
          <w:tcPr>
            <w:tcW w:w="5734" w:type="dxa"/>
            <w:vMerge w:val="restart"/>
            <w:tcBorders>
              <w:top w:val="nil"/>
              <w:left w:val="nil"/>
              <w:bottom w:val="single" w:sz="4" w:space="0" w:color="000000"/>
              <w:right w:val="single" w:sz="4" w:space="0" w:color="auto"/>
            </w:tcBorders>
            <w:shd w:val="clear" w:color="000000" w:fill="FFFFFF"/>
            <w:vAlign w:val="center"/>
            <w:hideMark/>
          </w:tcPr>
          <w:p w14:paraId="780C70F0"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Not coresident in 1974 x I(Year ≥ 1974)  × Originally Female College</w:t>
            </w:r>
          </w:p>
        </w:tc>
        <w:tc>
          <w:tcPr>
            <w:tcW w:w="1234" w:type="dxa"/>
            <w:tcBorders>
              <w:top w:val="nil"/>
              <w:left w:val="nil"/>
              <w:bottom w:val="nil"/>
              <w:right w:val="nil"/>
            </w:tcBorders>
            <w:shd w:val="clear" w:color="000000" w:fill="FFFFFF"/>
            <w:noWrap/>
            <w:vAlign w:val="bottom"/>
            <w:hideMark/>
          </w:tcPr>
          <w:p w14:paraId="1055AEE3" w14:textId="77777777" w:rsidR="00483C2E" w:rsidRPr="00483C2E" w:rsidRDefault="00483C2E" w:rsidP="00483C2E">
            <w:pPr>
              <w:spacing w:after="0" w:line="240" w:lineRule="auto"/>
              <w:jc w:val="center"/>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                 -</w:t>
            </w:r>
          </w:p>
        </w:tc>
        <w:tc>
          <w:tcPr>
            <w:tcW w:w="245" w:type="dxa"/>
            <w:tcBorders>
              <w:top w:val="nil"/>
              <w:left w:val="nil"/>
              <w:bottom w:val="nil"/>
              <w:right w:val="single" w:sz="4" w:space="0" w:color="auto"/>
            </w:tcBorders>
            <w:shd w:val="clear" w:color="000000" w:fill="FFFFFF"/>
            <w:noWrap/>
            <w:vAlign w:val="center"/>
            <w:hideMark/>
          </w:tcPr>
          <w:p w14:paraId="4222EC24"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nil"/>
              <w:right w:val="nil"/>
            </w:tcBorders>
            <w:shd w:val="clear" w:color="000000" w:fill="FFFFFF"/>
            <w:noWrap/>
            <w:vAlign w:val="bottom"/>
            <w:hideMark/>
          </w:tcPr>
          <w:p w14:paraId="50CA0B53"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14.868</w:t>
            </w:r>
          </w:p>
        </w:tc>
        <w:tc>
          <w:tcPr>
            <w:tcW w:w="294" w:type="dxa"/>
            <w:tcBorders>
              <w:top w:val="nil"/>
              <w:left w:val="nil"/>
              <w:bottom w:val="nil"/>
              <w:right w:val="nil"/>
            </w:tcBorders>
            <w:shd w:val="clear" w:color="000000" w:fill="FFFFFF"/>
            <w:noWrap/>
            <w:vAlign w:val="center"/>
            <w:hideMark/>
          </w:tcPr>
          <w:p w14:paraId="72215EB8" w14:textId="77777777" w:rsidR="00483C2E" w:rsidRPr="00483C2E" w:rsidRDefault="00483C2E" w:rsidP="00483C2E">
            <w:pPr>
              <w:spacing w:after="0" w:line="240" w:lineRule="auto"/>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vertAlign w:val="superscript"/>
              </w:rPr>
              <w:t>***</w:t>
            </w:r>
          </w:p>
        </w:tc>
      </w:tr>
      <w:tr w:rsidR="00483C2E" w:rsidRPr="00483C2E" w14:paraId="30F36FF1" w14:textId="77777777" w:rsidTr="00483C2E">
        <w:trPr>
          <w:trHeight w:val="320"/>
        </w:trPr>
        <w:tc>
          <w:tcPr>
            <w:tcW w:w="5734" w:type="dxa"/>
            <w:vMerge/>
            <w:tcBorders>
              <w:top w:val="nil"/>
              <w:left w:val="nil"/>
              <w:bottom w:val="single" w:sz="4" w:space="0" w:color="000000"/>
              <w:right w:val="single" w:sz="4" w:space="0" w:color="auto"/>
            </w:tcBorders>
            <w:vAlign w:val="center"/>
            <w:hideMark/>
          </w:tcPr>
          <w:p w14:paraId="5C205698" w14:textId="77777777" w:rsidR="00483C2E" w:rsidRPr="00483C2E" w:rsidRDefault="00483C2E" w:rsidP="00483C2E">
            <w:pPr>
              <w:spacing w:after="0" w:line="240" w:lineRule="auto"/>
              <w:rPr>
                <w:rFonts w:ascii="Times New Roman" w:eastAsia="Times New Roman" w:hAnsi="Times New Roman" w:cs="Times New Roman"/>
                <w:sz w:val="24"/>
                <w:szCs w:val="24"/>
              </w:rPr>
            </w:pPr>
          </w:p>
        </w:tc>
        <w:tc>
          <w:tcPr>
            <w:tcW w:w="1234" w:type="dxa"/>
            <w:tcBorders>
              <w:top w:val="nil"/>
              <w:left w:val="nil"/>
              <w:bottom w:val="single" w:sz="4" w:space="0" w:color="auto"/>
              <w:right w:val="nil"/>
            </w:tcBorders>
            <w:shd w:val="clear" w:color="000000" w:fill="FFFFFF"/>
            <w:noWrap/>
            <w:vAlign w:val="bottom"/>
            <w:hideMark/>
          </w:tcPr>
          <w:p w14:paraId="5FA6F35D"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w:t>
            </w:r>
          </w:p>
        </w:tc>
        <w:tc>
          <w:tcPr>
            <w:tcW w:w="245" w:type="dxa"/>
            <w:tcBorders>
              <w:top w:val="nil"/>
              <w:left w:val="nil"/>
              <w:bottom w:val="single" w:sz="4" w:space="0" w:color="auto"/>
              <w:right w:val="single" w:sz="4" w:space="0" w:color="auto"/>
            </w:tcBorders>
            <w:shd w:val="clear" w:color="000000" w:fill="FFFFFF"/>
            <w:noWrap/>
            <w:vAlign w:val="center"/>
            <w:hideMark/>
          </w:tcPr>
          <w:p w14:paraId="22D31113"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c>
          <w:tcPr>
            <w:tcW w:w="953" w:type="dxa"/>
            <w:tcBorders>
              <w:top w:val="nil"/>
              <w:left w:val="nil"/>
              <w:bottom w:val="single" w:sz="4" w:space="0" w:color="auto"/>
              <w:right w:val="nil"/>
            </w:tcBorders>
            <w:shd w:val="clear" w:color="000000" w:fill="FFFFFF"/>
            <w:noWrap/>
            <w:vAlign w:val="bottom"/>
            <w:hideMark/>
          </w:tcPr>
          <w:p w14:paraId="1642DB06" w14:textId="77777777" w:rsidR="00483C2E" w:rsidRPr="00483C2E" w:rsidRDefault="00483C2E" w:rsidP="00483C2E">
            <w:pPr>
              <w:spacing w:after="0" w:line="240" w:lineRule="auto"/>
              <w:jc w:val="right"/>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(4.193)</w:t>
            </w:r>
          </w:p>
        </w:tc>
        <w:tc>
          <w:tcPr>
            <w:tcW w:w="294" w:type="dxa"/>
            <w:tcBorders>
              <w:top w:val="nil"/>
              <w:left w:val="nil"/>
              <w:bottom w:val="single" w:sz="4" w:space="0" w:color="auto"/>
              <w:right w:val="nil"/>
            </w:tcBorders>
            <w:shd w:val="clear" w:color="000000" w:fill="FFFFFF"/>
            <w:noWrap/>
            <w:vAlign w:val="center"/>
            <w:hideMark/>
          </w:tcPr>
          <w:p w14:paraId="1DD935D8" w14:textId="77777777" w:rsidR="00483C2E" w:rsidRPr="00483C2E" w:rsidRDefault="00483C2E" w:rsidP="00483C2E">
            <w:pPr>
              <w:spacing w:after="0" w:line="240" w:lineRule="auto"/>
              <w:jc w:val="center"/>
              <w:rPr>
                <w:rFonts w:ascii="Times New Roman" w:eastAsia="Times New Roman" w:hAnsi="Times New Roman" w:cs="Times New Roman"/>
                <w:sz w:val="20"/>
                <w:szCs w:val="20"/>
              </w:rPr>
            </w:pPr>
            <w:r w:rsidRPr="00483C2E">
              <w:rPr>
                <w:rFonts w:ascii="Times New Roman" w:eastAsia="Times New Roman" w:hAnsi="Times New Roman" w:cs="Times New Roman"/>
                <w:sz w:val="20"/>
                <w:szCs w:val="20"/>
              </w:rPr>
              <w:t> </w:t>
            </w:r>
          </w:p>
        </w:tc>
      </w:tr>
      <w:tr w:rsidR="00483C2E" w:rsidRPr="00483C2E" w14:paraId="09BFF813" w14:textId="77777777" w:rsidTr="00483C2E">
        <w:trPr>
          <w:trHeight w:val="340"/>
        </w:trPr>
        <w:tc>
          <w:tcPr>
            <w:tcW w:w="5734" w:type="dxa"/>
            <w:tcBorders>
              <w:top w:val="nil"/>
              <w:left w:val="nil"/>
              <w:bottom w:val="double" w:sz="6" w:space="0" w:color="auto"/>
              <w:right w:val="single" w:sz="4" w:space="0" w:color="auto"/>
            </w:tcBorders>
            <w:shd w:val="clear" w:color="auto" w:fill="auto"/>
            <w:noWrap/>
            <w:vAlign w:val="center"/>
            <w:hideMark/>
          </w:tcPr>
          <w:p w14:paraId="061A4D8A" w14:textId="77777777" w:rsidR="00483C2E" w:rsidRPr="00483C2E" w:rsidRDefault="00483C2E" w:rsidP="00483C2E">
            <w:pPr>
              <w:spacing w:after="0" w:line="240" w:lineRule="auto"/>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R-squared</w:t>
            </w:r>
          </w:p>
        </w:tc>
        <w:tc>
          <w:tcPr>
            <w:tcW w:w="1479" w:type="dxa"/>
            <w:gridSpan w:val="2"/>
            <w:tcBorders>
              <w:top w:val="single" w:sz="4" w:space="0" w:color="auto"/>
              <w:left w:val="nil"/>
              <w:bottom w:val="double" w:sz="6" w:space="0" w:color="auto"/>
              <w:right w:val="nil"/>
            </w:tcBorders>
            <w:shd w:val="clear" w:color="000000" w:fill="FFFFFF"/>
            <w:noWrap/>
            <w:vAlign w:val="bottom"/>
            <w:hideMark/>
          </w:tcPr>
          <w:p w14:paraId="3A1D6A92" w14:textId="77777777" w:rsidR="00483C2E" w:rsidRPr="00483C2E" w:rsidRDefault="00483C2E" w:rsidP="00483C2E">
            <w:pPr>
              <w:spacing w:after="0" w:line="240" w:lineRule="auto"/>
              <w:jc w:val="center"/>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0.5123 </w:t>
            </w:r>
          </w:p>
        </w:tc>
        <w:tc>
          <w:tcPr>
            <w:tcW w:w="1247" w:type="dxa"/>
            <w:gridSpan w:val="2"/>
            <w:tcBorders>
              <w:top w:val="nil"/>
              <w:left w:val="nil"/>
              <w:bottom w:val="double" w:sz="6" w:space="0" w:color="auto"/>
              <w:right w:val="nil"/>
            </w:tcBorders>
            <w:shd w:val="clear" w:color="000000" w:fill="FFFFFF"/>
            <w:noWrap/>
            <w:vAlign w:val="bottom"/>
            <w:hideMark/>
          </w:tcPr>
          <w:p w14:paraId="158E28CD" w14:textId="77777777" w:rsidR="00483C2E" w:rsidRPr="00483C2E" w:rsidRDefault="00483C2E" w:rsidP="00483C2E">
            <w:pPr>
              <w:spacing w:after="0" w:line="240" w:lineRule="auto"/>
              <w:jc w:val="center"/>
              <w:rPr>
                <w:rFonts w:ascii="Times New Roman" w:eastAsia="Times New Roman" w:hAnsi="Times New Roman" w:cs="Times New Roman"/>
                <w:sz w:val="24"/>
                <w:szCs w:val="24"/>
              </w:rPr>
            </w:pPr>
            <w:r w:rsidRPr="00483C2E">
              <w:rPr>
                <w:rFonts w:ascii="Times New Roman" w:eastAsia="Times New Roman" w:hAnsi="Times New Roman" w:cs="Times New Roman"/>
                <w:sz w:val="24"/>
                <w:szCs w:val="24"/>
              </w:rPr>
              <w:t xml:space="preserve">0.5123 </w:t>
            </w:r>
          </w:p>
        </w:tc>
      </w:tr>
      <w:tr w:rsidR="00483C2E" w:rsidRPr="00483C2E" w14:paraId="27133DA8" w14:textId="77777777" w:rsidTr="00483C2E">
        <w:trPr>
          <w:trHeight w:val="320"/>
        </w:trPr>
        <w:tc>
          <w:tcPr>
            <w:tcW w:w="8460" w:type="dxa"/>
            <w:gridSpan w:val="5"/>
            <w:vMerge w:val="restart"/>
            <w:tcBorders>
              <w:top w:val="double" w:sz="6" w:space="0" w:color="auto"/>
              <w:left w:val="nil"/>
              <w:bottom w:val="nil"/>
              <w:right w:val="nil"/>
            </w:tcBorders>
            <w:shd w:val="clear" w:color="auto" w:fill="auto"/>
            <w:vAlign w:val="bottom"/>
            <w:hideMark/>
          </w:tcPr>
          <w:p w14:paraId="249C9BD7" w14:textId="77777777" w:rsidR="00483C2E" w:rsidRPr="00483C2E" w:rsidRDefault="00483C2E" w:rsidP="00483C2E">
            <w:pPr>
              <w:spacing w:after="0" w:line="240" w:lineRule="auto"/>
              <w:rPr>
                <w:rFonts w:ascii="Calibri" w:eastAsia="Times New Roman" w:hAnsi="Calibri" w:cs="Times New Roman"/>
                <w:color w:val="000000"/>
              </w:rPr>
            </w:pPr>
            <w:r w:rsidRPr="00483C2E">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r w:rsidR="00483C2E" w:rsidRPr="00483C2E" w14:paraId="7D9F8260" w14:textId="77777777" w:rsidTr="00483C2E">
        <w:trPr>
          <w:trHeight w:val="580"/>
        </w:trPr>
        <w:tc>
          <w:tcPr>
            <w:tcW w:w="8460" w:type="dxa"/>
            <w:gridSpan w:val="5"/>
            <w:vMerge/>
            <w:tcBorders>
              <w:top w:val="double" w:sz="6" w:space="0" w:color="auto"/>
              <w:left w:val="nil"/>
              <w:bottom w:val="nil"/>
              <w:right w:val="nil"/>
            </w:tcBorders>
            <w:vAlign w:val="center"/>
            <w:hideMark/>
          </w:tcPr>
          <w:p w14:paraId="28311280" w14:textId="77777777" w:rsidR="00483C2E" w:rsidRPr="00483C2E" w:rsidRDefault="00483C2E" w:rsidP="00483C2E">
            <w:pPr>
              <w:spacing w:after="0" w:line="240" w:lineRule="auto"/>
              <w:rPr>
                <w:rFonts w:ascii="Calibri" w:eastAsia="Times New Roman" w:hAnsi="Calibri" w:cs="Times New Roman"/>
                <w:color w:val="000000"/>
              </w:rPr>
            </w:pPr>
          </w:p>
        </w:tc>
      </w:tr>
    </w:tbl>
    <w:p w14:paraId="3E3A24A7" w14:textId="77777777" w:rsidR="00856366" w:rsidRDefault="00856366"/>
    <w:p w14:paraId="3EB36DB0" w14:textId="0C97708A" w:rsidR="00D16C7F" w:rsidRDefault="00856366">
      <w:r>
        <w:br w:type="page"/>
      </w:r>
    </w:p>
    <w:p w14:paraId="13EC2AB0" w14:textId="45C6FE48" w:rsidR="00D1438C" w:rsidRDefault="00D1438C">
      <w:r>
        <w:rPr>
          <w:noProof/>
        </w:rPr>
        <w:lastRenderedPageBreak/>
        <w:drawing>
          <wp:inline distT="0" distB="0" distL="0" distR="0" wp14:anchorId="2D91D807" wp14:editId="2389B592">
            <wp:extent cx="5818505" cy="4231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1.pdf"/>
                    <pic:cNvPicPr/>
                  </pic:nvPicPr>
                  <pic:blipFill>
                    <a:blip r:embed="rId8">
                      <a:extLst>
                        <a:ext uri="{28A0092B-C50C-407E-A947-70E740481C1C}">
                          <a14:useLocalDpi xmlns:a14="http://schemas.microsoft.com/office/drawing/2010/main" val="0"/>
                        </a:ext>
                      </a:extLst>
                    </a:blip>
                    <a:stretch>
                      <a:fillRect/>
                    </a:stretch>
                  </pic:blipFill>
                  <pic:spPr>
                    <a:xfrm>
                      <a:off x="0" y="0"/>
                      <a:ext cx="5822586" cy="4234608"/>
                    </a:xfrm>
                    <a:prstGeom prst="rect">
                      <a:avLst/>
                    </a:prstGeom>
                  </pic:spPr>
                </pic:pic>
              </a:graphicData>
            </a:graphic>
          </wp:inline>
        </w:drawing>
      </w:r>
      <w:r>
        <w:br w:type="page"/>
      </w:r>
      <w:r>
        <w:rPr>
          <w:noProof/>
        </w:rPr>
        <w:lastRenderedPageBreak/>
        <w:drawing>
          <wp:inline distT="0" distB="0" distL="0" distR="0" wp14:anchorId="042A356B" wp14:editId="4EAA2763">
            <wp:extent cx="5685096" cy="434594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1.pdf"/>
                    <pic:cNvPicPr/>
                  </pic:nvPicPr>
                  <pic:blipFill>
                    <a:blip r:embed="rId9">
                      <a:extLst>
                        <a:ext uri="{28A0092B-C50C-407E-A947-70E740481C1C}">
                          <a14:useLocalDpi xmlns:a14="http://schemas.microsoft.com/office/drawing/2010/main" val="0"/>
                        </a:ext>
                      </a:extLst>
                    </a:blip>
                    <a:stretch>
                      <a:fillRect/>
                    </a:stretch>
                  </pic:blipFill>
                  <pic:spPr>
                    <a:xfrm>
                      <a:off x="0" y="0"/>
                      <a:ext cx="5715286" cy="4369019"/>
                    </a:xfrm>
                    <a:prstGeom prst="rect">
                      <a:avLst/>
                    </a:prstGeom>
                  </pic:spPr>
                </pic:pic>
              </a:graphicData>
            </a:graphic>
          </wp:inline>
        </w:drawing>
      </w:r>
    </w:p>
    <w:p w14:paraId="07D13EBF" w14:textId="77777777" w:rsidR="00D1438C" w:rsidRDefault="00D1438C">
      <w:r>
        <w:br w:type="page"/>
      </w:r>
    </w:p>
    <w:p w14:paraId="512CED14" w14:textId="77777777" w:rsidR="00D1438C" w:rsidRDefault="00D1438C"/>
    <w:p w14:paraId="3AAC9DF9" w14:textId="77777777" w:rsidR="00D16C7F" w:rsidRDefault="00D16C7F"/>
    <w:p w14:paraId="5AFE8E81" w14:textId="4A5D4FA1" w:rsidR="00D16C7F" w:rsidRDefault="00D1438C">
      <w:r>
        <w:rPr>
          <w:noProof/>
        </w:rPr>
        <w:drawing>
          <wp:inline distT="0" distB="0" distL="0" distR="0" wp14:anchorId="78C4AD40" wp14:editId="78B82910">
            <wp:extent cx="5943600" cy="4307840"/>
            <wp:effectExtent l="0" t="0" r="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143941" w14:textId="69477B1F" w:rsidR="00D1438C" w:rsidRDefault="00D16C7F">
      <w:r>
        <w:br w:type="page"/>
      </w:r>
    </w:p>
    <w:p w14:paraId="3C6DDFDB" w14:textId="7DE20FB7" w:rsidR="00D1438C" w:rsidRDefault="00D1438C" w:rsidP="00D1438C">
      <w:r>
        <w:rPr>
          <w:noProof/>
        </w:rPr>
        <w:lastRenderedPageBreak/>
        <w:drawing>
          <wp:inline distT="0" distB="0" distL="0" distR="0" wp14:anchorId="48133698" wp14:editId="6640497D">
            <wp:extent cx="5943600" cy="4307840"/>
            <wp:effectExtent l="0" t="0" r="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81D6B1" w14:textId="77777777" w:rsidR="00D1438C" w:rsidRDefault="00D1438C">
      <w:r>
        <w:br w:type="page"/>
      </w:r>
    </w:p>
    <w:p w14:paraId="70837310" w14:textId="71281267" w:rsidR="00D1438C" w:rsidRDefault="00D1438C" w:rsidP="00D1438C">
      <w:r>
        <w:rPr>
          <w:noProof/>
        </w:rPr>
        <w:lastRenderedPageBreak/>
        <w:drawing>
          <wp:inline distT="0" distB="0" distL="0" distR="0" wp14:anchorId="135629F4" wp14:editId="0D7DD23C">
            <wp:extent cx="5943600" cy="4307840"/>
            <wp:effectExtent l="0" t="0" r="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56F8F3" w14:textId="77777777" w:rsidR="00D1438C" w:rsidRDefault="00D1438C">
      <w:r>
        <w:br w:type="page"/>
      </w:r>
    </w:p>
    <w:p w14:paraId="5EB56D1E" w14:textId="3C42A8CB" w:rsidR="00D1438C" w:rsidRPr="00D1438C" w:rsidRDefault="00D1438C" w:rsidP="00D1438C">
      <w:r>
        <w:rPr>
          <w:noProof/>
        </w:rPr>
        <w:lastRenderedPageBreak/>
        <w:drawing>
          <wp:inline distT="0" distB="0" distL="0" distR="0" wp14:anchorId="64525500" wp14:editId="0007D09D">
            <wp:extent cx="5943600" cy="4307840"/>
            <wp:effectExtent l="0" t="0" r="0"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DCB226" w14:textId="77777777" w:rsidR="00D1438C" w:rsidRPr="00D1438C" w:rsidRDefault="00D1438C" w:rsidP="00D1438C"/>
    <w:p w14:paraId="5F2FE15C" w14:textId="77777777" w:rsidR="00D1438C" w:rsidRPr="00D1438C" w:rsidRDefault="00D1438C" w:rsidP="00D1438C"/>
    <w:p w14:paraId="605C7176" w14:textId="77777777" w:rsidR="00D1438C" w:rsidRPr="00D1438C" w:rsidRDefault="00D1438C" w:rsidP="00D1438C"/>
    <w:p w14:paraId="764B3E35" w14:textId="5579AE82" w:rsidR="00D1438C" w:rsidRDefault="00D1438C"/>
    <w:p w14:paraId="225D4341" w14:textId="6EE9D19A" w:rsidR="00D1438C" w:rsidRDefault="00D1438C" w:rsidP="00D1438C"/>
    <w:p w14:paraId="1B1AFB9B" w14:textId="51196D7A" w:rsidR="00D16C7F" w:rsidRDefault="00D16C7F">
      <w:r w:rsidRPr="00D1438C">
        <w:br w:type="page"/>
      </w:r>
    </w:p>
    <w:p w14:paraId="63ACEEB8" w14:textId="0724BC62" w:rsidR="00D16C7F" w:rsidRDefault="00D16C7F"/>
    <w:p w14:paraId="452191B4" w14:textId="77777777" w:rsidR="00F425A6" w:rsidRDefault="00F425A6" w:rsidP="00F425A6">
      <w:pPr>
        <w:spacing w:after="0" w:line="240" w:lineRule="auto"/>
        <w:rPr>
          <w:b/>
        </w:rPr>
      </w:pPr>
      <w:r>
        <w:rPr>
          <w:b/>
        </w:rPr>
        <w:t>References</w:t>
      </w:r>
    </w:p>
    <w:p w14:paraId="33DF8BD8" w14:textId="77777777" w:rsidR="006D17AA" w:rsidRDefault="006D17AA" w:rsidP="00F425A6">
      <w:pPr>
        <w:spacing w:after="0" w:line="240" w:lineRule="auto"/>
        <w:rPr>
          <w:b/>
        </w:rPr>
      </w:pPr>
    </w:p>
    <w:p w14:paraId="2204B510" w14:textId="77777777" w:rsidR="006D17AA" w:rsidRDefault="003D4A3B" w:rsidP="00F425A6">
      <w:pPr>
        <w:spacing w:after="0" w:line="240" w:lineRule="auto"/>
      </w:pPr>
      <w:r>
        <w:t xml:space="preserve">Ady, P. 1964. “Mixed education and the women’s colleges”. </w:t>
      </w:r>
      <w:r w:rsidRPr="00C54C94">
        <w:t>Oxford Magazine</w:t>
      </w:r>
      <w:r>
        <w:t>. 3 December: 138-140.</w:t>
      </w:r>
    </w:p>
    <w:p w14:paraId="29A2E741" w14:textId="77777777" w:rsidR="000D75AC" w:rsidRDefault="000D75AC" w:rsidP="00F425A6">
      <w:pPr>
        <w:spacing w:after="0" w:line="240" w:lineRule="auto"/>
      </w:pPr>
    </w:p>
    <w:p w14:paraId="698E642E" w14:textId="77777777" w:rsidR="000D75AC" w:rsidRDefault="000D75AC" w:rsidP="00F425A6">
      <w:pPr>
        <w:spacing w:after="0" w:line="240" w:lineRule="auto"/>
      </w:pPr>
      <w:r>
        <w:t>Bolton, P. 2014. “Oxbridge ‘elitism”</w:t>
      </w:r>
      <w:r w:rsidR="00C54C94">
        <w:t>. Ho</w:t>
      </w:r>
      <w:r>
        <w:t>u</w:t>
      </w:r>
      <w:r w:rsidR="00C54C94">
        <w:t>s</w:t>
      </w:r>
      <w:r>
        <w:t>e of Commons Library, June 9. Dera.ioe.ac.uk/22744/1/</w:t>
      </w:r>
      <w:r w:rsidR="00004AF2">
        <w:t>sn00616.pdf</w:t>
      </w:r>
    </w:p>
    <w:p w14:paraId="16A62210" w14:textId="77777777" w:rsidR="007A44B4" w:rsidRDefault="007A44B4" w:rsidP="00F425A6">
      <w:pPr>
        <w:spacing w:after="0" w:line="240" w:lineRule="auto"/>
      </w:pPr>
    </w:p>
    <w:p w14:paraId="7E75821F" w14:textId="77777777" w:rsidR="007A44B4" w:rsidRDefault="007A44B4" w:rsidP="00F425A6">
      <w:pPr>
        <w:spacing w:after="0" w:line="240" w:lineRule="auto"/>
      </w:pPr>
      <w:r>
        <w:t>Brock, M. 1994. “The University since 1970”.</w:t>
      </w:r>
      <w:r w:rsidR="008F282B">
        <w:t xml:space="preserve"> ”. In B. Harrison (ed.). The History of the University of Oxford Volume VIII, Oxford: Oxford University Press: 739-774.</w:t>
      </w:r>
    </w:p>
    <w:p w14:paraId="7D0DD5F2" w14:textId="77777777" w:rsidR="006D17AA" w:rsidRDefault="006D17AA" w:rsidP="00F425A6">
      <w:pPr>
        <w:spacing w:after="0" w:line="240" w:lineRule="auto"/>
      </w:pPr>
    </w:p>
    <w:p w14:paraId="16D59A54" w14:textId="77777777" w:rsidR="006D17AA" w:rsidRDefault="006D17AA" w:rsidP="00F425A6">
      <w:pPr>
        <w:spacing w:after="0" w:line="240" w:lineRule="auto"/>
      </w:pPr>
      <w:r>
        <w:t xml:space="preserve">Brockliss, L. 2016. </w:t>
      </w:r>
      <w:r w:rsidRPr="00C54C94">
        <w:t>The University of Oxford: A History. Oxford</w:t>
      </w:r>
      <w:r>
        <w:t>: Oxford University Press.</w:t>
      </w:r>
    </w:p>
    <w:p w14:paraId="272584E3" w14:textId="77777777" w:rsidR="00CE4CF2" w:rsidRDefault="00CE4CF2" w:rsidP="00F425A6">
      <w:pPr>
        <w:spacing w:after="0" w:line="240" w:lineRule="auto"/>
      </w:pPr>
    </w:p>
    <w:p w14:paraId="6567CEEE" w14:textId="4D9B7E11" w:rsidR="00CE4CF2" w:rsidRDefault="00CE4CF2" w:rsidP="00F425A6">
      <w:pPr>
        <w:spacing w:after="0" w:line="240" w:lineRule="auto"/>
      </w:pPr>
      <w:r>
        <w:t xml:space="preserve">CUSU Women’s Campaign. 2015. Mind the gap: Student experiences of sexism within teaching and learning at Cambridge University. </w:t>
      </w:r>
      <w:hyperlink r:id="rId14" w:history="1">
        <w:r w:rsidR="00577B91" w:rsidRPr="00686682">
          <w:rPr>
            <w:rStyle w:val="Hyperlink"/>
          </w:rPr>
          <w:t>https://womens.cusu.cam.ac.uk/campaigns/mindthegapreport2015.pdf</w:t>
        </w:r>
      </w:hyperlink>
      <w:r w:rsidR="00577B91">
        <w:t xml:space="preserve"> accessed June 8 2017.</w:t>
      </w:r>
    </w:p>
    <w:p w14:paraId="1B8E5445" w14:textId="77777777" w:rsidR="00621985" w:rsidRDefault="00621985" w:rsidP="00F425A6">
      <w:pPr>
        <w:spacing w:after="0" w:line="240" w:lineRule="auto"/>
      </w:pPr>
    </w:p>
    <w:p w14:paraId="3E43A70B" w14:textId="77777777" w:rsidR="00621985" w:rsidRDefault="00AB1840" w:rsidP="00F425A6">
      <w:pPr>
        <w:spacing w:after="0" w:line="240" w:lineRule="auto"/>
      </w:pPr>
      <w:r>
        <w:t>d</w:t>
      </w:r>
      <w:r w:rsidR="00621985">
        <w:t xml:space="preserve">e Ste. Croix. 1964. “The admission of women to New College”. </w:t>
      </w:r>
      <w:r w:rsidR="0097212F" w:rsidRPr="00C54C94">
        <w:t>Oxford Magazine</w:t>
      </w:r>
      <w:r w:rsidR="0097212F">
        <w:t>. 15 October: 4-7</w:t>
      </w:r>
      <w:r w:rsidR="00621985">
        <w:t>.</w:t>
      </w:r>
    </w:p>
    <w:p w14:paraId="192C7EC3" w14:textId="77777777" w:rsidR="008E533A" w:rsidRDefault="008E533A" w:rsidP="00F425A6">
      <w:pPr>
        <w:spacing w:after="0" w:line="240" w:lineRule="auto"/>
      </w:pPr>
    </w:p>
    <w:p w14:paraId="5B07B683" w14:textId="4DD1860B" w:rsidR="008E533A" w:rsidRDefault="008E533A" w:rsidP="00F425A6">
      <w:pPr>
        <w:spacing w:after="0" w:line="240" w:lineRule="auto"/>
      </w:pPr>
      <w:r>
        <w:t>DeWitt, H. and L. Nixon. 1988. “Women and men in Oxford.” Oxford Magazine. 8</w:t>
      </w:r>
      <w:r w:rsidRPr="008E533A">
        <w:rPr>
          <w:vertAlign w:val="superscript"/>
        </w:rPr>
        <w:t>th</w:t>
      </w:r>
      <w:r>
        <w:t xml:space="preserve"> Week Trinity Term: 11-13.</w:t>
      </w:r>
    </w:p>
    <w:p w14:paraId="446C31E1" w14:textId="77777777" w:rsidR="00185A58" w:rsidRDefault="00185A58" w:rsidP="00F425A6">
      <w:pPr>
        <w:spacing w:after="0" w:line="240" w:lineRule="auto"/>
      </w:pPr>
    </w:p>
    <w:p w14:paraId="05C25943" w14:textId="77777777" w:rsidR="00185A58" w:rsidRDefault="00185A58" w:rsidP="00F425A6">
      <w:pPr>
        <w:spacing w:after="0" w:line="240" w:lineRule="auto"/>
      </w:pPr>
      <w:r>
        <w:t>Dill, D. 2009. “Convergence and diversity: The role and influence of university rankings” in University Rankings, Diversity, and the New Landscape of Higher Education. B. M. Kehm and B. Stensaker (eds.), Rotterdam: Sense Publishing: 97-116.</w:t>
      </w:r>
    </w:p>
    <w:p w14:paraId="0BE70EA0" w14:textId="77777777" w:rsidR="006D17AA" w:rsidRDefault="006D17AA" w:rsidP="00F425A6">
      <w:pPr>
        <w:spacing w:after="0" w:line="240" w:lineRule="auto"/>
      </w:pPr>
    </w:p>
    <w:p w14:paraId="3A28B4D7" w14:textId="77777777" w:rsidR="006D17AA" w:rsidRDefault="006D17AA" w:rsidP="00F425A6">
      <w:pPr>
        <w:spacing w:after="0" w:line="240" w:lineRule="auto"/>
      </w:pPr>
      <w:r>
        <w:t>Dyhouse, C. 2002. “’Apostates’ and ‘Uncle Toms’: Accusations of betrayal in the history of the mixed college in the 1960s”. History of Education. (31, 3): 281-297.</w:t>
      </w:r>
    </w:p>
    <w:p w14:paraId="46AE7618" w14:textId="77777777" w:rsidR="006D17AA" w:rsidRDefault="006D17AA" w:rsidP="00F425A6">
      <w:pPr>
        <w:spacing w:after="0" w:line="240" w:lineRule="auto"/>
      </w:pPr>
    </w:p>
    <w:p w14:paraId="2DF55654" w14:textId="77777777" w:rsidR="006D17AA" w:rsidRDefault="006D17AA" w:rsidP="00F425A6">
      <w:pPr>
        <w:spacing w:after="0" w:line="240" w:lineRule="auto"/>
      </w:pPr>
      <w:r>
        <w:t>Dyhouse, C. 2003. “Troubled identities: Gender and status in the history of the mixed college in English universities since 1945”. Women’s History Review. (12, 3): 169-193.</w:t>
      </w:r>
    </w:p>
    <w:p w14:paraId="37FDA5AA" w14:textId="77777777" w:rsidR="00621985" w:rsidRDefault="00621985" w:rsidP="00F425A6">
      <w:pPr>
        <w:spacing w:after="0" w:line="240" w:lineRule="auto"/>
      </w:pPr>
    </w:p>
    <w:p w14:paraId="18C939BC" w14:textId="77777777" w:rsidR="00621985" w:rsidRDefault="00621985" w:rsidP="00F425A6">
      <w:pPr>
        <w:spacing w:after="0" w:line="240" w:lineRule="auto"/>
      </w:pPr>
      <w:r>
        <w:t>Ferdinand, C. “In default of a laundryman: The rise of women at Magdalen”. Magdalen College record: 78-83.</w:t>
      </w:r>
    </w:p>
    <w:p w14:paraId="7AB8A601" w14:textId="77777777" w:rsidR="00621985" w:rsidRDefault="00621985" w:rsidP="00F425A6">
      <w:pPr>
        <w:spacing w:after="0" w:line="240" w:lineRule="auto"/>
      </w:pPr>
    </w:p>
    <w:p w14:paraId="18C563DC" w14:textId="77777777" w:rsidR="00621985" w:rsidRDefault="00621985" w:rsidP="00F425A6">
      <w:pPr>
        <w:spacing w:after="0" w:line="240" w:lineRule="auto"/>
      </w:pPr>
      <w:r>
        <w:t xml:space="preserve">Gray, J. </w:t>
      </w:r>
      <w:r w:rsidR="003D4A3B">
        <w:t>1969</w:t>
      </w:r>
      <w:r w:rsidR="0097212F">
        <w:t>. Towards Co-education</w:t>
      </w:r>
      <w:r w:rsidR="003D4A3B">
        <w:t>: The case for Exeter College becoming coresidential”. Exeter College Archives.</w:t>
      </w:r>
    </w:p>
    <w:p w14:paraId="6794AD2F" w14:textId="77777777" w:rsidR="00913761" w:rsidRDefault="00913761" w:rsidP="00F425A6">
      <w:pPr>
        <w:spacing w:after="0" w:line="240" w:lineRule="auto"/>
      </w:pPr>
    </w:p>
    <w:p w14:paraId="4DC4E21A" w14:textId="77777777" w:rsidR="00913761" w:rsidRDefault="00913761" w:rsidP="00F425A6">
      <w:pPr>
        <w:spacing w:after="0" w:line="240" w:lineRule="auto"/>
      </w:pPr>
      <w:r>
        <w:t>Greenstein, D. 1987. “Gender results: Men and women in the Schools 1913-86”. Oxford Magazine. No.19, Fourth Week Hilary Term, pp.4-6.</w:t>
      </w:r>
    </w:p>
    <w:p w14:paraId="1522ED38" w14:textId="77777777" w:rsidR="0097212F" w:rsidRDefault="0097212F" w:rsidP="00F425A6">
      <w:pPr>
        <w:spacing w:after="0" w:line="240" w:lineRule="auto"/>
      </w:pPr>
    </w:p>
    <w:p w14:paraId="77F334CA" w14:textId="77777777" w:rsidR="0097212F" w:rsidRDefault="0097212F" w:rsidP="00F425A6">
      <w:pPr>
        <w:spacing w:after="0" w:line="240" w:lineRule="auto"/>
      </w:pPr>
      <w:r>
        <w:t>Hart, J. 1989. “Women at Oxford since the advent of mixed colleges”. Oxford Review of Education. (15, 3): 217-220.</w:t>
      </w:r>
    </w:p>
    <w:p w14:paraId="483D131B" w14:textId="77777777" w:rsidR="0097212F" w:rsidRDefault="0097212F" w:rsidP="00F425A6">
      <w:pPr>
        <w:spacing w:after="0" w:line="240" w:lineRule="auto"/>
      </w:pPr>
    </w:p>
    <w:p w14:paraId="6A12D809" w14:textId="398223B8" w:rsidR="0097212F" w:rsidRDefault="0097212F" w:rsidP="00F425A6">
      <w:pPr>
        <w:spacing w:after="0" w:line="240" w:lineRule="auto"/>
      </w:pPr>
      <w:r>
        <w:t xml:space="preserve">Hibbert, C. 1988. The </w:t>
      </w:r>
      <w:r w:rsidR="00886E7D">
        <w:t>Encyclopedia</w:t>
      </w:r>
      <w:r>
        <w:t xml:space="preserve"> of Oxford. London: Macmillan.</w:t>
      </w:r>
    </w:p>
    <w:p w14:paraId="6FF6BA51" w14:textId="77777777" w:rsidR="00EB5847" w:rsidRDefault="00EB5847" w:rsidP="00F425A6">
      <w:pPr>
        <w:spacing w:after="0" w:line="240" w:lineRule="auto"/>
      </w:pPr>
    </w:p>
    <w:p w14:paraId="6756A897" w14:textId="77777777" w:rsidR="00EB5847" w:rsidRDefault="00EB5847" w:rsidP="00F425A6">
      <w:pPr>
        <w:spacing w:after="0" w:line="240" w:lineRule="auto"/>
      </w:pPr>
      <w:r>
        <w:lastRenderedPageBreak/>
        <w:t>Hicks, M.</w:t>
      </w:r>
      <w:r w:rsidR="00C72707">
        <w:t xml:space="preserve"> 2004</w:t>
      </w:r>
      <w:r w:rsidR="00913761">
        <w:t xml:space="preserve">. </w:t>
      </w:r>
      <w:r>
        <w:t xml:space="preserve"> “Integrating women at Oxford and Harvard universities, 1964-1977”, in Yards and Gates: Gender in Harvard and Radcliffe History. L. T. Ulrich (ed.). New York: Palgrave Macmillan: 245-270.</w:t>
      </w:r>
    </w:p>
    <w:p w14:paraId="028E89BE" w14:textId="77777777" w:rsidR="00913761" w:rsidRDefault="00913761" w:rsidP="00F425A6">
      <w:pPr>
        <w:spacing w:after="0" w:line="240" w:lineRule="auto"/>
      </w:pPr>
    </w:p>
    <w:p w14:paraId="3146EC2E" w14:textId="77777777" w:rsidR="00913761" w:rsidRDefault="00913761" w:rsidP="00F425A6">
      <w:pPr>
        <w:spacing w:after="0" w:line="240" w:lineRule="auto"/>
      </w:pPr>
      <w:r>
        <w:t>Hornby, J., N. Lacey, S. Loviband, J. Pallot, and J. Stapleton. 1987. “’How long, o Lord….”: permanent Oxford posts for women.” Oxford Magazine. No 19, Fourth Week Hilary Term, pp.2-3.</w:t>
      </w:r>
    </w:p>
    <w:p w14:paraId="08DF765C" w14:textId="77777777" w:rsidR="0097212F" w:rsidRDefault="0097212F" w:rsidP="00F425A6">
      <w:pPr>
        <w:spacing w:after="0" w:line="240" w:lineRule="auto"/>
      </w:pPr>
    </w:p>
    <w:p w14:paraId="7FCC6323" w14:textId="605EFBA2" w:rsidR="0097212F" w:rsidRDefault="0097212F" w:rsidP="00F425A6">
      <w:pPr>
        <w:spacing w:after="0" w:line="240" w:lineRule="auto"/>
      </w:pPr>
      <w:r>
        <w:t>Howarth, J. 1994</w:t>
      </w:r>
      <w:r w:rsidR="00CA06C1">
        <w:t>a</w:t>
      </w:r>
      <w:r>
        <w:t>. “Women”. In B. Harrison (ed</w:t>
      </w:r>
      <w:r w:rsidR="00C54C94">
        <w:t>.</w:t>
      </w:r>
      <w:r>
        <w:t>). The History of the University of Oxford Vol</w:t>
      </w:r>
      <w:r w:rsidR="008F282B">
        <w:t>ume VIII. Oxford: Oxford University Press: 345-376.</w:t>
      </w:r>
    </w:p>
    <w:p w14:paraId="3EB8F9EF" w14:textId="77777777" w:rsidR="00CA06C1" w:rsidRDefault="00CA06C1" w:rsidP="00F425A6">
      <w:pPr>
        <w:spacing w:after="0" w:line="240" w:lineRule="auto"/>
      </w:pPr>
    </w:p>
    <w:p w14:paraId="59592236" w14:textId="04BFB432" w:rsidR="00CA06C1" w:rsidRDefault="00D9768D" w:rsidP="00F425A6">
      <w:pPr>
        <w:spacing w:after="0" w:line="240" w:lineRule="auto"/>
      </w:pPr>
      <w:r>
        <w:t>Howar</w:t>
      </w:r>
      <w:r w:rsidR="00CA06C1">
        <w:t xml:space="preserve">th, J. 1994b. </w:t>
      </w:r>
      <w:r w:rsidR="00490BEF">
        <w:t xml:space="preserve"> “Women’s colleges- the latest lost cause?’ Oxford Review of Education (20, 1): 143-147</w:t>
      </w:r>
      <w:r>
        <w:t>.</w:t>
      </w:r>
    </w:p>
    <w:p w14:paraId="5F042D00" w14:textId="77777777" w:rsidR="006D17AA" w:rsidRDefault="006D17AA" w:rsidP="00F425A6">
      <w:pPr>
        <w:spacing w:after="0" w:line="240" w:lineRule="auto"/>
      </w:pPr>
    </w:p>
    <w:p w14:paraId="3E3F396F" w14:textId="77777777" w:rsidR="006D17AA" w:rsidRDefault="006D17AA" w:rsidP="00F425A6">
      <w:pPr>
        <w:spacing w:after="0" w:line="240" w:lineRule="auto"/>
      </w:pPr>
      <w:r>
        <w:t xml:space="preserve">Hubbard, M. </w:t>
      </w:r>
      <w:r w:rsidR="00621985">
        <w:t>1965. “The number of women at Oxford University”. Oxford Magazine. 6 May: 312-313.</w:t>
      </w:r>
    </w:p>
    <w:p w14:paraId="1A8B2866" w14:textId="77777777" w:rsidR="006D727F" w:rsidRDefault="006D727F" w:rsidP="00F425A6">
      <w:pPr>
        <w:spacing w:after="0" w:line="240" w:lineRule="auto"/>
      </w:pPr>
    </w:p>
    <w:p w14:paraId="6799990F" w14:textId="77777777" w:rsidR="006D727F" w:rsidRDefault="006D727F" w:rsidP="00F425A6">
      <w:pPr>
        <w:spacing w:after="0" w:line="240" w:lineRule="auto"/>
      </w:pPr>
      <w:r>
        <w:t>Malkiel, N. W. 2016. “Keep the Damned Women Out: The Struggle for Coeducation”. Princeton, NJ: Princeton University Press.</w:t>
      </w:r>
    </w:p>
    <w:p w14:paraId="30C76434" w14:textId="77777777" w:rsidR="00CE4CF2" w:rsidRDefault="00CE4CF2" w:rsidP="00F425A6">
      <w:pPr>
        <w:spacing w:after="0" w:line="240" w:lineRule="auto"/>
      </w:pPr>
    </w:p>
    <w:p w14:paraId="6C5BFC8C" w14:textId="7473DF83" w:rsidR="00CE4CF2" w:rsidRDefault="00CE4CF2" w:rsidP="00F425A6">
      <w:pPr>
        <w:spacing w:after="0" w:line="240" w:lineRule="auto"/>
      </w:pPr>
      <w:r>
        <w:t>McCrum, N. G. 1996. “Gender and social inequality at Oxford and Cambridge”. Oxford Review of Education. (22, 4): 369-39</w:t>
      </w:r>
    </w:p>
    <w:p w14:paraId="0A91C3A5" w14:textId="77777777" w:rsidR="00712FFF" w:rsidRDefault="00712FFF" w:rsidP="00F425A6">
      <w:pPr>
        <w:spacing w:after="0" w:line="240" w:lineRule="auto"/>
      </w:pPr>
    </w:p>
    <w:p w14:paraId="150B59B3" w14:textId="77777777" w:rsidR="00712FFF" w:rsidRDefault="00712FFF" w:rsidP="00F425A6">
      <w:pPr>
        <w:spacing w:after="0" w:line="240" w:lineRule="auto"/>
      </w:pPr>
      <w:r>
        <w:t>McCrum, N. G. 1997. “The gender gap at Oxford”. Oxford Magazine. No. 143, Fourth Week Trinity Term, pp.6-10.</w:t>
      </w:r>
    </w:p>
    <w:p w14:paraId="6F7CE9D0" w14:textId="77777777" w:rsidR="00913761" w:rsidRDefault="00913761" w:rsidP="00F425A6">
      <w:pPr>
        <w:spacing w:after="0" w:line="240" w:lineRule="auto"/>
      </w:pPr>
    </w:p>
    <w:p w14:paraId="2622BCD6" w14:textId="77777777" w:rsidR="00913761" w:rsidRDefault="00913761" w:rsidP="00F425A6">
      <w:pPr>
        <w:spacing w:after="0" w:line="240" w:lineRule="auto"/>
      </w:pPr>
      <w:r>
        <w:t>Mellanby, J. H. and J. N. P. Rawlins. 1997. “</w:t>
      </w:r>
      <w:r w:rsidR="00712FFF">
        <w:t>T</w:t>
      </w:r>
      <w:r>
        <w:t xml:space="preserve">he gender gap- the case of PPP”. Oxford Magazine. </w:t>
      </w:r>
      <w:r w:rsidR="00712FFF">
        <w:t>N0</w:t>
      </w:r>
      <w:r>
        <w:t xml:space="preserve">.144, </w:t>
      </w:r>
      <w:r w:rsidR="00712FFF">
        <w:t xml:space="preserve">Eighth Week </w:t>
      </w:r>
      <w:r>
        <w:t>Trinity Term</w:t>
      </w:r>
      <w:r w:rsidR="00712FFF">
        <w:t>, p.2.</w:t>
      </w:r>
    </w:p>
    <w:p w14:paraId="1DB3235A" w14:textId="77777777" w:rsidR="00185A58" w:rsidRDefault="00185A58" w:rsidP="00F425A6">
      <w:pPr>
        <w:spacing w:after="0" w:line="240" w:lineRule="auto"/>
      </w:pPr>
    </w:p>
    <w:p w14:paraId="7C6003B7" w14:textId="77777777" w:rsidR="00185A58" w:rsidRDefault="00185A58" w:rsidP="00F425A6">
      <w:pPr>
        <w:spacing w:after="0" w:line="240" w:lineRule="auto"/>
      </w:pPr>
      <w:r>
        <w:t>Monks, J. and R. G. Ehrenberg. 1999. “The impact of U.S. News and World Report college rankings on admission outcomes and pricing policies at selective private institutions”. Cambridge, M.A.: National Bureau of Economic Research working paper 7227, July.</w:t>
      </w:r>
    </w:p>
    <w:p w14:paraId="0A7B8363" w14:textId="77777777" w:rsidR="00712FFF" w:rsidRDefault="00712FFF" w:rsidP="00F425A6">
      <w:pPr>
        <w:spacing w:after="0" w:line="240" w:lineRule="auto"/>
      </w:pPr>
    </w:p>
    <w:p w14:paraId="3F6C22D7" w14:textId="77777777" w:rsidR="00712FFF" w:rsidRDefault="00712FFF" w:rsidP="00F425A6">
      <w:pPr>
        <w:spacing w:after="0" w:line="240" w:lineRule="auto"/>
      </w:pPr>
      <w:r>
        <w:t>Oxford Magazine. 1965. “Editorial”. Oxford Magazine. 13 May, p.325.</w:t>
      </w:r>
    </w:p>
    <w:p w14:paraId="32815C96" w14:textId="77777777" w:rsidR="00621985" w:rsidRDefault="00621985" w:rsidP="00F425A6">
      <w:pPr>
        <w:spacing w:after="0" w:line="240" w:lineRule="auto"/>
      </w:pPr>
    </w:p>
    <w:p w14:paraId="27C9AF19" w14:textId="77777777" w:rsidR="00621985" w:rsidRDefault="00621985" w:rsidP="00F425A6">
      <w:pPr>
        <w:spacing w:after="0" w:line="240" w:lineRule="auto"/>
      </w:pPr>
      <w:r>
        <w:t>Pirie, A. 1965. “Women for New College”. Oxford Magazine. 6 May: 321.</w:t>
      </w:r>
    </w:p>
    <w:p w14:paraId="7F4F2C4B" w14:textId="77777777" w:rsidR="00E17BAA" w:rsidRDefault="00E17BAA" w:rsidP="00F425A6">
      <w:pPr>
        <w:spacing w:after="0" w:line="240" w:lineRule="auto"/>
      </w:pPr>
    </w:p>
    <w:p w14:paraId="1B632DC3" w14:textId="77777777" w:rsidR="00E17BAA" w:rsidRDefault="00E17BAA" w:rsidP="00F425A6">
      <w:pPr>
        <w:spacing w:after="0" w:line="240" w:lineRule="auto"/>
      </w:pPr>
      <w:r>
        <w:t>Prochaska, A. 2014.</w:t>
      </w:r>
      <w:r w:rsidR="00C72707">
        <w:t xml:space="preserve"> “Reflections on the history and identity of the former women’s colleges.” Paper presented at the History of Oxford Colleges conference, Trinity College, Oxford, November 15.</w:t>
      </w:r>
    </w:p>
    <w:p w14:paraId="46DF56B3" w14:textId="77777777" w:rsidR="00621985" w:rsidRDefault="00621985" w:rsidP="00F425A6">
      <w:pPr>
        <w:spacing w:after="0" w:line="240" w:lineRule="auto"/>
      </w:pPr>
    </w:p>
    <w:p w14:paraId="010DE819" w14:textId="77777777" w:rsidR="00621985" w:rsidRDefault="00621985" w:rsidP="00F425A6">
      <w:pPr>
        <w:spacing w:after="0" w:line="240" w:lineRule="auto"/>
      </w:pPr>
      <w:r>
        <w:t>Richards, G. 2014/15. “The admission of women to Brasenose”. The Brazen Nose. Vol. 49: 88-92.</w:t>
      </w:r>
    </w:p>
    <w:p w14:paraId="0D8DBD1C" w14:textId="77777777" w:rsidR="00591DC4" w:rsidRDefault="00591DC4" w:rsidP="00F425A6">
      <w:pPr>
        <w:spacing w:after="0" w:line="240" w:lineRule="auto"/>
      </w:pPr>
    </w:p>
    <w:p w14:paraId="119C8D3A" w14:textId="77777777" w:rsidR="00591DC4" w:rsidRDefault="00591DC4" w:rsidP="00F425A6">
      <w:pPr>
        <w:spacing w:after="0" w:line="240" w:lineRule="auto"/>
      </w:pPr>
      <w:r>
        <w:t>Robbins, L. C. 1963. Higher Education: Report of the committee appointed by the Prime Minister under the chairmanship of Lord Robbins 1961-63. Cmnd. 2154. London: HMSO.</w:t>
      </w:r>
    </w:p>
    <w:p w14:paraId="3DE2B5F0" w14:textId="77777777" w:rsidR="00185A58" w:rsidRDefault="00185A58" w:rsidP="00F425A6">
      <w:pPr>
        <w:spacing w:after="0" w:line="240" w:lineRule="auto"/>
      </w:pPr>
    </w:p>
    <w:p w14:paraId="3D6A7B70" w14:textId="77777777" w:rsidR="007A69C5" w:rsidRDefault="00185A58" w:rsidP="00F425A6">
      <w:pPr>
        <w:spacing w:after="0" w:line="240" w:lineRule="auto"/>
      </w:pPr>
      <w:r>
        <w:t>Rolfe, H. 2003. “University strategy in an age of uncertainty: The effect of higher education funding on new and old universities.” Higher Education Quarterly, (57, 1): 24-47</w:t>
      </w:r>
    </w:p>
    <w:p w14:paraId="390E3F2B" w14:textId="77777777" w:rsidR="007A69C5" w:rsidRDefault="007A69C5" w:rsidP="007A69C5">
      <w:pPr>
        <w:spacing w:after="0" w:line="240" w:lineRule="auto"/>
      </w:pPr>
    </w:p>
    <w:p w14:paraId="729A3966" w14:textId="77777777" w:rsidR="007A69C5" w:rsidRDefault="007A69C5" w:rsidP="007A69C5">
      <w:pPr>
        <w:spacing w:after="0" w:line="240" w:lineRule="auto"/>
      </w:pPr>
      <w:r>
        <w:t>Smith, D. 2012. ”St. Anne’s College 1952-2012.” www_dev.st-annes.ox.uk/fileadmin-documents/publications/St_Annes_History_Brochure_David_smith.pdf. Accessed May 26 2017.</w:t>
      </w:r>
    </w:p>
    <w:p w14:paraId="2198E3A9" w14:textId="77777777" w:rsidR="007A69C5" w:rsidRDefault="007A69C5" w:rsidP="00F425A6">
      <w:pPr>
        <w:spacing w:after="0" w:line="240" w:lineRule="auto"/>
      </w:pPr>
    </w:p>
    <w:p w14:paraId="01628990" w14:textId="77777777" w:rsidR="00907AD8" w:rsidRDefault="00907AD8" w:rsidP="00F425A6">
      <w:pPr>
        <w:spacing w:after="0" w:line="240" w:lineRule="auto"/>
      </w:pPr>
      <w:r>
        <w:t>Stigler, G. J. 1988. Memoirs of an Unregulated Economist. Chicago: University of Chicago Press.</w:t>
      </w:r>
    </w:p>
    <w:p w14:paraId="3C441182" w14:textId="77777777" w:rsidR="00621985" w:rsidRDefault="00621985" w:rsidP="00F425A6">
      <w:pPr>
        <w:spacing w:after="0" w:line="240" w:lineRule="auto"/>
      </w:pPr>
    </w:p>
    <w:p w14:paraId="1A608AE9" w14:textId="77777777" w:rsidR="00621985" w:rsidRDefault="00621985" w:rsidP="00F425A6">
      <w:pPr>
        <w:spacing w:after="0" w:line="240" w:lineRule="auto"/>
      </w:pPr>
      <w:r>
        <w:t>Stockton, D. 1972. “Co-residence at Oxford?”</w:t>
      </w:r>
      <w:r w:rsidR="00890FC8">
        <w:t xml:space="preserve"> </w:t>
      </w:r>
      <w:r>
        <w:t>Oxford Magazine. 26 May: 4.</w:t>
      </w:r>
    </w:p>
    <w:p w14:paraId="04BDD40E" w14:textId="77777777" w:rsidR="00890FC8" w:rsidRDefault="00890FC8" w:rsidP="00F425A6">
      <w:pPr>
        <w:spacing w:after="0" w:line="240" w:lineRule="auto"/>
      </w:pPr>
    </w:p>
    <w:p w14:paraId="017CD489" w14:textId="77777777" w:rsidR="00890FC8" w:rsidRDefault="00890FC8" w:rsidP="00F425A6">
      <w:pPr>
        <w:spacing w:after="0" w:line="240" w:lineRule="auto"/>
      </w:pPr>
      <w:r>
        <w:t>Trehub, E.D.</w:t>
      </w:r>
      <w:r w:rsidR="00BE0707">
        <w:t xml:space="preserve"> 2016.</w:t>
      </w:r>
      <w:r>
        <w:t xml:space="preserve"> “Women at the University of Oxford.” </w:t>
      </w:r>
      <w:hyperlink r:id="rId15" w:history="1">
        <w:r w:rsidR="000E2388" w:rsidRPr="00C834B3">
          <w:rPr>
            <w:rStyle w:val="Hyperlink"/>
          </w:rPr>
          <w:t>www.victorianweb.org/history/education/trehub/4.html</w:t>
        </w:r>
      </w:hyperlink>
      <w:r>
        <w:t xml:space="preserve"> </w:t>
      </w:r>
      <w:r w:rsidR="007A69C5">
        <w:t>. A</w:t>
      </w:r>
      <w:r>
        <w:t xml:space="preserve">ccessed </w:t>
      </w:r>
      <w:r w:rsidR="000D75AC">
        <w:t>May 26 2016.</w:t>
      </w:r>
    </w:p>
    <w:p w14:paraId="634D4A3A" w14:textId="77777777" w:rsidR="00CE4CF2" w:rsidRDefault="00CE4CF2" w:rsidP="00F425A6">
      <w:pPr>
        <w:spacing w:after="0" w:line="240" w:lineRule="auto"/>
      </w:pPr>
    </w:p>
    <w:p w14:paraId="2CF24F22" w14:textId="77777777" w:rsidR="006D17AA" w:rsidRDefault="006D17AA" w:rsidP="00F425A6">
      <w:pPr>
        <w:spacing w:after="0" w:line="240" w:lineRule="auto"/>
      </w:pPr>
    </w:p>
    <w:p w14:paraId="66D28A24" w14:textId="77777777" w:rsidR="006D17AA" w:rsidRDefault="006D17AA" w:rsidP="00F425A6">
      <w:pPr>
        <w:spacing w:after="0" w:line="240" w:lineRule="auto"/>
      </w:pPr>
      <w:r>
        <w:t>Vaughan, J. 1964. “The higher education of women”. Oxford Magazine. 22 October: 24-25.</w:t>
      </w:r>
    </w:p>
    <w:p w14:paraId="360A74A9" w14:textId="77777777" w:rsidR="00621985" w:rsidRDefault="00621985" w:rsidP="00F425A6">
      <w:pPr>
        <w:spacing w:after="0" w:line="240" w:lineRule="auto"/>
      </w:pPr>
    </w:p>
    <w:p w14:paraId="4A2A5701" w14:textId="77777777" w:rsidR="00621985" w:rsidRDefault="00621985" w:rsidP="00F425A6">
      <w:pPr>
        <w:spacing w:after="0" w:line="240" w:lineRule="auto"/>
      </w:pPr>
      <w:r>
        <w:t xml:space="preserve">Warnock, M. </w:t>
      </w:r>
      <w:r w:rsidR="00EB5847">
        <w:t xml:space="preserve">1972. </w:t>
      </w:r>
      <w:r>
        <w:t>“Coresidence at Oxford”. Oxford Magazine. 26 May: 5-6.</w:t>
      </w:r>
    </w:p>
    <w:p w14:paraId="55589282" w14:textId="77777777" w:rsidR="003D4A3B" w:rsidRDefault="003D4A3B" w:rsidP="00F425A6">
      <w:pPr>
        <w:spacing w:after="0" w:line="240" w:lineRule="auto"/>
      </w:pPr>
    </w:p>
    <w:p w14:paraId="41F97A91" w14:textId="77777777" w:rsidR="00312C08" w:rsidRDefault="003D4A3B" w:rsidP="00F425A6">
      <w:pPr>
        <w:spacing w:after="0" w:line="240" w:lineRule="auto"/>
      </w:pPr>
      <w:r>
        <w:t xml:space="preserve">Young, T. 2014. “If you want an argument against state-school only Oxbridge colleges, just look at me”. The Spectator. </w:t>
      </w:r>
      <w:hyperlink r:id="rId16" w:history="1">
        <w:r w:rsidRPr="00A35E96">
          <w:rPr>
            <w:rStyle w:val="Hyperlink"/>
          </w:rPr>
          <w:t>www.spectator.co.uk/2014/11/if-you-</w:t>
        </w:r>
      </w:hyperlink>
      <w:r>
        <w:t xml:space="preserve"> accessed January 10 2017.</w:t>
      </w:r>
    </w:p>
    <w:p w14:paraId="1ADFD163" w14:textId="77777777" w:rsidR="00312C08" w:rsidRDefault="00312C08">
      <w:r>
        <w:br w:type="page"/>
      </w:r>
    </w:p>
    <w:p w14:paraId="17708C19" w14:textId="77777777" w:rsidR="003D4A3B" w:rsidRDefault="00312C08" w:rsidP="00F425A6">
      <w:pPr>
        <w:spacing w:after="0" w:line="240" w:lineRule="auto"/>
        <w:rPr>
          <w:b/>
        </w:rPr>
      </w:pPr>
      <w:r w:rsidRPr="00312C08">
        <w:rPr>
          <w:b/>
        </w:rPr>
        <w:lastRenderedPageBreak/>
        <w:t>Appendix</w:t>
      </w:r>
    </w:p>
    <w:p w14:paraId="53BB5959" w14:textId="77777777" w:rsidR="00312C08" w:rsidRDefault="00312C08" w:rsidP="00F425A6">
      <w:pPr>
        <w:spacing w:after="0" w:line="240" w:lineRule="auto"/>
        <w:rPr>
          <w:b/>
        </w:rPr>
      </w:pPr>
    </w:p>
    <w:p w14:paraId="555F82FF" w14:textId="77777777" w:rsidR="00312C08" w:rsidRDefault="00312C08" w:rsidP="00F425A6">
      <w:pPr>
        <w:spacing w:after="0" w:line="240" w:lineRule="auto"/>
        <w:rPr>
          <w:b/>
        </w:rPr>
      </w:pPr>
    </w:p>
    <w:p w14:paraId="4C315E68" w14:textId="77777777" w:rsidR="00312C08" w:rsidRDefault="00312C08" w:rsidP="00F425A6">
      <w:pPr>
        <w:spacing w:after="0" w:line="240" w:lineRule="auto"/>
        <w:rPr>
          <w:b/>
        </w:rPr>
      </w:pPr>
    </w:p>
    <w:tbl>
      <w:tblPr>
        <w:tblW w:w="8140" w:type="dxa"/>
        <w:tblLook w:val="04A0" w:firstRow="1" w:lastRow="0" w:firstColumn="1" w:lastColumn="0" w:noHBand="0" w:noVBand="1"/>
      </w:tblPr>
      <w:tblGrid>
        <w:gridCol w:w="5809"/>
        <w:gridCol w:w="916"/>
        <w:gridCol w:w="411"/>
        <w:gridCol w:w="916"/>
        <w:gridCol w:w="411"/>
      </w:tblGrid>
      <w:tr w:rsidR="0073710F" w:rsidRPr="0073710F" w14:paraId="14B41F95" w14:textId="77777777" w:rsidTr="0073710F">
        <w:trPr>
          <w:trHeight w:val="340"/>
        </w:trPr>
        <w:tc>
          <w:tcPr>
            <w:tcW w:w="8140" w:type="dxa"/>
            <w:gridSpan w:val="5"/>
            <w:tcBorders>
              <w:top w:val="nil"/>
              <w:left w:val="nil"/>
              <w:bottom w:val="nil"/>
              <w:right w:val="nil"/>
            </w:tcBorders>
            <w:shd w:val="clear" w:color="000000" w:fill="FFFFFF"/>
            <w:vAlign w:val="bottom"/>
            <w:hideMark/>
          </w:tcPr>
          <w:p w14:paraId="1CFF9998" w14:textId="77777777" w:rsidR="0073710F" w:rsidRPr="0073710F" w:rsidRDefault="0073710F" w:rsidP="0073710F">
            <w:pPr>
              <w:spacing w:after="0" w:line="240" w:lineRule="auto"/>
              <w:jc w:val="center"/>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t>Table A1</w:t>
            </w:r>
          </w:p>
        </w:tc>
      </w:tr>
      <w:tr w:rsidR="0073710F" w:rsidRPr="0073710F" w14:paraId="08E8FA75" w14:textId="77777777" w:rsidTr="0073710F">
        <w:trPr>
          <w:trHeight w:val="340"/>
        </w:trPr>
        <w:tc>
          <w:tcPr>
            <w:tcW w:w="8140" w:type="dxa"/>
            <w:gridSpan w:val="5"/>
            <w:tcBorders>
              <w:top w:val="nil"/>
              <w:left w:val="nil"/>
              <w:bottom w:val="single" w:sz="4" w:space="0" w:color="auto"/>
              <w:right w:val="nil"/>
            </w:tcBorders>
            <w:shd w:val="clear" w:color="000000" w:fill="FFFFFF"/>
            <w:vAlign w:val="bottom"/>
            <w:hideMark/>
          </w:tcPr>
          <w:p w14:paraId="5D2C55EB" w14:textId="77777777" w:rsidR="0073710F" w:rsidRPr="0073710F" w:rsidRDefault="0073710F" w:rsidP="0073710F">
            <w:pPr>
              <w:spacing w:after="0" w:line="240" w:lineRule="auto"/>
              <w:jc w:val="center"/>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t>Ordered Probit Estimates of Determinates of Norrington Rankings</w:t>
            </w:r>
          </w:p>
        </w:tc>
      </w:tr>
      <w:tr w:rsidR="0073710F" w:rsidRPr="0073710F" w14:paraId="6AD53151" w14:textId="77777777" w:rsidTr="0073710F">
        <w:trPr>
          <w:trHeight w:val="340"/>
        </w:trPr>
        <w:tc>
          <w:tcPr>
            <w:tcW w:w="5809" w:type="dxa"/>
            <w:tcBorders>
              <w:top w:val="nil"/>
              <w:left w:val="nil"/>
              <w:bottom w:val="double" w:sz="6" w:space="0" w:color="auto"/>
              <w:right w:val="single" w:sz="4" w:space="0" w:color="auto"/>
            </w:tcBorders>
            <w:shd w:val="clear" w:color="000000" w:fill="FFFFFF"/>
            <w:noWrap/>
            <w:vAlign w:val="bottom"/>
            <w:hideMark/>
          </w:tcPr>
          <w:p w14:paraId="6CDD0510" w14:textId="77777777" w:rsidR="0073710F" w:rsidRPr="0073710F" w:rsidRDefault="0073710F" w:rsidP="0073710F">
            <w:pPr>
              <w:spacing w:after="0" w:line="240" w:lineRule="auto"/>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t xml:space="preserve">Variable </w:t>
            </w:r>
          </w:p>
        </w:tc>
        <w:tc>
          <w:tcPr>
            <w:tcW w:w="1168" w:type="dxa"/>
            <w:gridSpan w:val="2"/>
            <w:tcBorders>
              <w:top w:val="single" w:sz="4" w:space="0" w:color="auto"/>
              <w:left w:val="nil"/>
              <w:bottom w:val="double" w:sz="6" w:space="0" w:color="auto"/>
              <w:right w:val="single" w:sz="4" w:space="0" w:color="000000"/>
            </w:tcBorders>
            <w:shd w:val="clear" w:color="000000" w:fill="FFFFFF"/>
            <w:vAlign w:val="bottom"/>
            <w:hideMark/>
          </w:tcPr>
          <w:p w14:paraId="7618173E" w14:textId="77777777" w:rsidR="0073710F" w:rsidRPr="0073710F" w:rsidRDefault="0073710F" w:rsidP="0073710F">
            <w:pPr>
              <w:spacing w:after="0" w:line="240" w:lineRule="auto"/>
              <w:jc w:val="center"/>
              <w:rPr>
                <w:rFonts w:ascii="Times New Roman" w:eastAsia="Times New Roman" w:hAnsi="Times New Roman" w:cs="Times New Roman"/>
                <w:b/>
                <w:bCs/>
                <w:color w:val="000000"/>
                <w:sz w:val="24"/>
                <w:szCs w:val="24"/>
              </w:rPr>
            </w:pPr>
            <w:r w:rsidRPr="0073710F">
              <w:rPr>
                <w:rFonts w:ascii="Times New Roman" w:eastAsia="Times New Roman" w:hAnsi="Times New Roman" w:cs="Times New Roman"/>
                <w:b/>
                <w:bCs/>
                <w:color w:val="000000"/>
                <w:sz w:val="24"/>
                <w:szCs w:val="24"/>
              </w:rPr>
              <w:t>(1)</w:t>
            </w:r>
          </w:p>
        </w:tc>
        <w:tc>
          <w:tcPr>
            <w:tcW w:w="1163" w:type="dxa"/>
            <w:gridSpan w:val="2"/>
            <w:tcBorders>
              <w:top w:val="nil"/>
              <w:left w:val="nil"/>
              <w:bottom w:val="double" w:sz="6" w:space="0" w:color="auto"/>
              <w:right w:val="single" w:sz="4" w:space="0" w:color="FFFFFF"/>
            </w:tcBorders>
            <w:shd w:val="clear" w:color="000000" w:fill="FFFFFF"/>
            <w:vAlign w:val="bottom"/>
            <w:hideMark/>
          </w:tcPr>
          <w:p w14:paraId="15409D09" w14:textId="77777777" w:rsidR="0073710F" w:rsidRPr="0073710F" w:rsidRDefault="0073710F" w:rsidP="0073710F">
            <w:pPr>
              <w:spacing w:after="0" w:line="240" w:lineRule="auto"/>
              <w:jc w:val="center"/>
              <w:rPr>
                <w:rFonts w:ascii="Times New Roman" w:eastAsia="Times New Roman" w:hAnsi="Times New Roman" w:cs="Times New Roman"/>
                <w:b/>
                <w:bCs/>
                <w:color w:val="000000"/>
                <w:sz w:val="24"/>
                <w:szCs w:val="24"/>
              </w:rPr>
            </w:pPr>
            <w:r w:rsidRPr="0073710F">
              <w:rPr>
                <w:rFonts w:ascii="Times New Roman" w:eastAsia="Times New Roman" w:hAnsi="Times New Roman" w:cs="Times New Roman"/>
                <w:b/>
                <w:bCs/>
                <w:color w:val="000000"/>
                <w:sz w:val="24"/>
                <w:szCs w:val="24"/>
              </w:rPr>
              <w:t>(2)</w:t>
            </w:r>
          </w:p>
        </w:tc>
      </w:tr>
      <w:tr w:rsidR="0073710F" w:rsidRPr="0073710F" w14:paraId="3B105BD6" w14:textId="77777777" w:rsidTr="0073710F">
        <w:trPr>
          <w:trHeight w:val="380"/>
        </w:trPr>
        <w:tc>
          <w:tcPr>
            <w:tcW w:w="5809" w:type="dxa"/>
            <w:vMerge w:val="restart"/>
            <w:tcBorders>
              <w:top w:val="nil"/>
              <w:left w:val="nil"/>
              <w:bottom w:val="nil"/>
              <w:right w:val="single" w:sz="4" w:space="0" w:color="auto"/>
            </w:tcBorders>
            <w:shd w:val="clear" w:color="FFF58C" w:fill="FFFFFF"/>
            <w:noWrap/>
            <w:vAlign w:val="center"/>
            <w:hideMark/>
          </w:tcPr>
          <w:p w14:paraId="0FD1E278" w14:textId="77777777" w:rsidR="0073710F" w:rsidRPr="0073710F" w:rsidRDefault="0073710F" w:rsidP="0073710F">
            <w:pPr>
              <w:spacing w:after="0" w:line="240" w:lineRule="auto"/>
              <w:rPr>
                <w:rFonts w:ascii="Times New Roman" w:eastAsia="Times New Roman" w:hAnsi="Times New Roman" w:cs="Times New Roman"/>
                <w:color w:val="000000"/>
                <w:sz w:val="24"/>
                <w:szCs w:val="24"/>
              </w:rPr>
            </w:pPr>
            <w:r w:rsidRPr="0073710F">
              <w:rPr>
                <w:rFonts w:ascii="Times New Roman" w:eastAsia="Times New Roman" w:hAnsi="Times New Roman" w:cs="Times New Roman"/>
                <w:color w:val="000000"/>
                <w:sz w:val="24"/>
                <w:szCs w:val="24"/>
              </w:rPr>
              <w:t>Percent Female Faculty</w:t>
            </w:r>
          </w:p>
        </w:tc>
        <w:tc>
          <w:tcPr>
            <w:tcW w:w="904" w:type="dxa"/>
            <w:tcBorders>
              <w:top w:val="nil"/>
              <w:left w:val="nil"/>
              <w:bottom w:val="nil"/>
              <w:right w:val="nil"/>
            </w:tcBorders>
            <w:shd w:val="clear" w:color="000000" w:fill="FFFFFF"/>
            <w:noWrap/>
            <w:vAlign w:val="bottom"/>
            <w:hideMark/>
          </w:tcPr>
          <w:p w14:paraId="01E9DAC2"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-0.462</w:t>
            </w:r>
          </w:p>
        </w:tc>
        <w:tc>
          <w:tcPr>
            <w:tcW w:w="264" w:type="dxa"/>
            <w:tcBorders>
              <w:top w:val="nil"/>
              <w:left w:val="nil"/>
              <w:bottom w:val="nil"/>
              <w:right w:val="single" w:sz="4" w:space="0" w:color="auto"/>
            </w:tcBorders>
            <w:shd w:val="clear" w:color="000000" w:fill="FFFFFF"/>
            <w:noWrap/>
            <w:vAlign w:val="bottom"/>
            <w:hideMark/>
          </w:tcPr>
          <w:p w14:paraId="0379EAB2"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vertAlign w:val="superscript"/>
              </w:rPr>
              <w:t xml:space="preserve">   </w:t>
            </w:r>
          </w:p>
        </w:tc>
        <w:tc>
          <w:tcPr>
            <w:tcW w:w="889" w:type="dxa"/>
            <w:tcBorders>
              <w:top w:val="nil"/>
              <w:left w:val="nil"/>
              <w:bottom w:val="nil"/>
              <w:right w:val="nil"/>
            </w:tcBorders>
            <w:shd w:val="clear" w:color="000000" w:fill="FFFFFF"/>
            <w:noWrap/>
            <w:vAlign w:val="bottom"/>
            <w:hideMark/>
          </w:tcPr>
          <w:p w14:paraId="772D5434"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-0.297</w:t>
            </w:r>
          </w:p>
        </w:tc>
        <w:tc>
          <w:tcPr>
            <w:tcW w:w="274" w:type="dxa"/>
            <w:tcBorders>
              <w:top w:val="nil"/>
              <w:left w:val="nil"/>
              <w:bottom w:val="nil"/>
              <w:right w:val="nil"/>
            </w:tcBorders>
            <w:shd w:val="clear" w:color="000000" w:fill="FFFFFF"/>
            <w:noWrap/>
            <w:vAlign w:val="center"/>
            <w:hideMark/>
          </w:tcPr>
          <w:p w14:paraId="21043FCD"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xml:space="preserve">   </w:t>
            </w:r>
          </w:p>
        </w:tc>
      </w:tr>
      <w:tr w:rsidR="0073710F" w:rsidRPr="0073710F" w14:paraId="7C5302A2" w14:textId="77777777" w:rsidTr="0073710F">
        <w:trPr>
          <w:trHeight w:val="320"/>
        </w:trPr>
        <w:tc>
          <w:tcPr>
            <w:tcW w:w="5809" w:type="dxa"/>
            <w:vMerge/>
            <w:tcBorders>
              <w:top w:val="nil"/>
              <w:left w:val="nil"/>
              <w:bottom w:val="nil"/>
              <w:right w:val="single" w:sz="4" w:space="0" w:color="auto"/>
            </w:tcBorders>
            <w:vAlign w:val="center"/>
            <w:hideMark/>
          </w:tcPr>
          <w:p w14:paraId="7D9FFBB4" w14:textId="77777777" w:rsidR="0073710F" w:rsidRPr="0073710F" w:rsidRDefault="0073710F" w:rsidP="0073710F">
            <w:pPr>
              <w:spacing w:after="0" w:line="240" w:lineRule="auto"/>
              <w:rPr>
                <w:rFonts w:ascii="Times New Roman" w:eastAsia="Times New Roman" w:hAnsi="Times New Roman" w:cs="Times New Roman"/>
                <w:color w:val="000000"/>
                <w:sz w:val="24"/>
                <w:szCs w:val="24"/>
              </w:rPr>
            </w:pPr>
          </w:p>
        </w:tc>
        <w:tc>
          <w:tcPr>
            <w:tcW w:w="904" w:type="dxa"/>
            <w:tcBorders>
              <w:top w:val="nil"/>
              <w:left w:val="nil"/>
              <w:bottom w:val="nil"/>
              <w:right w:val="nil"/>
            </w:tcBorders>
            <w:shd w:val="clear" w:color="000000" w:fill="FFFFFF"/>
            <w:noWrap/>
            <w:vAlign w:val="bottom"/>
            <w:hideMark/>
          </w:tcPr>
          <w:p w14:paraId="7D8815DC"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(0.393)</w:t>
            </w:r>
          </w:p>
        </w:tc>
        <w:tc>
          <w:tcPr>
            <w:tcW w:w="264" w:type="dxa"/>
            <w:tcBorders>
              <w:top w:val="nil"/>
              <w:left w:val="nil"/>
              <w:bottom w:val="nil"/>
              <w:right w:val="single" w:sz="4" w:space="0" w:color="auto"/>
            </w:tcBorders>
            <w:shd w:val="clear" w:color="000000" w:fill="FFFFFF"/>
            <w:noWrap/>
            <w:vAlign w:val="bottom"/>
            <w:hideMark/>
          </w:tcPr>
          <w:p w14:paraId="68BB814B"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c>
          <w:tcPr>
            <w:tcW w:w="889" w:type="dxa"/>
            <w:tcBorders>
              <w:top w:val="nil"/>
              <w:left w:val="nil"/>
              <w:bottom w:val="nil"/>
              <w:right w:val="nil"/>
            </w:tcBorders>
            <w:shd w:val="clear" w:color="000000" w:fill="FFFFFF"/>
            <w:noWrap/>
            <w:vAlign w:val="bottom"/>
            <w:hideMark/>
          </w:tcPr>
          <w:p w14:paraId="7C5C1B7E"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(0.401)</w:t>
            </w:r>
          </w:p>
        </w:tc>
        <w:tc>
          <w:tcPr>
            <w:tcW w:w="274" w:type="dxa"/>
            <w:tcBorders>
              <w:top w:val="nil"/>
              <w:left w:val="nil"/>
              <w:bottom w:val="nil"/>
              <w:right w:val="nil"/>
            </w:tcBorders>
            <w:shd w:val="clear" w:color="000000" w:fill="FFFFFF"/>
            <w:noWrap/>
            <w:vAlign w:val="center"/>
            <w:hideMark/>
          </w:tcPr>
          <w:p w14:paraId="7497BDA3"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rPr>
              <w:t> </w:t>
            </w:r>
          </w:p>
        </w:tc>
      </w:tr>
      <w:tr w:rsidR="0073710F" w:rsidRPr="0073710F" w14:paraId="1D5F1A32" w14:textId="77777777" w:rsidTr="0073710F">
        <w:trPr>
          <w:trHeight w:val="320"/>
        </w:trPr>
        <w:tc>
          <w:tcPr>
            <w:tcW w:w="5809" w:type="dxa"/>
            <w:vMerge w:val="restart"/>
            <w:tcBorders>
              <w:top w:val="nil"/>
              <w:left w:val="nil"/>
              <w:bottom w:val="nil"/>
              <w:right w:val="single" w:sz="4" w:space="0" w:color="auto"/>
            </w:tcBorders>
            <w:shd w:val="clear" w:color="000000" w:fill="FFFFFF"/>
            <w:vAlign w:val="center"/>
            <w:hideMark/>
          </w:tcPr>
          <w:p w14:paraId="1798FAC3"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Coresidence</w:t>
            </w:r>
          </w:p>
        </w:tc>
        <w:tc>
          <w:tcPr>
            <w:tcW w:w="904" w:type="dxa"/>
            <w:tcBorders>
              <w:top w:val="nil"/>
              <w:left w:val="nil"/>
              <w:bottom w:val="nil"/>
              <w:right w:val="nil"/>
            </w:tcBorders>
            <w:shd w:val="clear" w:color="000000" w:fill="FFFFFF"/>
            <w:noWrap/>
            <w:vAlign w:val="bottom"/>
            <w:hideMark/>
          </w:tcPr>
          <w:p w14:paraId="62D8D2B2"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-0.771</w:t>
            </w:r>
          </w:p>
        </w:tc>
        <w:tc>
          <w:tcPr>
            <w:tcW w:w="264" w:type="dxa"/>
            <w:tcBorders>
              <w:top w:val="nil"/>
              <w:left w:val="nil"/>
              <w:bottom w:val="nil"/>
              <w:right w:val="single" w:sz="4" w:space="0" w:color="auto"/>
            </w:tcBorders>
            <w:shd w:val="clear" w:color="000000" w:fill="FFFFFF"/>
            <w:noWrap/>
            <w:vAlign w:val="center"/>
            <w:hideMark/>
          </w:tcPr>
          <w:p w14:paraId="3317D7EC"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c>
          <w:tcPr>
            <w:tcW w:w="889" w:type="dxa"/>
            <w:tcBorders>
              <w:top w:val="nil"/>
              <w:left w:val="nil"/>
              <w:bottom w:val="nil"/>
              <w:right w:val="nil"/>
            </w:tcBorders>
            <w:shd w:val="clear" w:color="000000" w:fill="FFFFFF"/>
            <w:noWrap/>
            <w:vAlign w:val="bottom"/>
            <w:hideMark/>
          </w:tcPr>
          <w:p w14:paraId="34C349BC"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-0.483</w:t>
            </w:r>
          </w:p>
        </w:tc>
        <w:tc>
          <w:tcPr>
            <w:tcW w:w="274" w:type="dxa"/>
            <w:tcBorders>
              <w:top w:val="nil"/>
              <w:left w:val="nil"/>
              <w:bottom w:val="nil"/>
              <w:right w:val="nil"/>
            </w:tcBorders>
            <w:shd w:val="clear" w:color="000000" w:fill="FFFFFF"/>
            <w:noWrap/>
            <w:vAlign w:val="center"/>
            <w:hideMark/>
          </w:tcPr>
          <w:p w14:paraId="42F07256"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31D6CEBB" w14:textId="77777777" w:rsidTr="0073710F">
        <w:trPr>
          <w:trHeight w:val="320"/>
        </w:trPr>
        <w:tc>
          <w:tcPr>
            <w:tcW w:w="5809" w:type="dxa"/>
            <w:vMerge/>
            <w:tcBorders>
              <w:top w:val="nil"/>
              <w:left w:val="nil"/>
              <w:bottom w:val="nil"/>
              <w:right w:val="single" w:sz="4" w:space="0" w:color="auto"/>
            </w:tcBorders>
            <w:vAlign w:val="center"/>
            <w:hideMark/>
          </w:tcPr>
          <w:p w14:paraId="647CB88B"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1FC0982C"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(0.183)</w:t>
            </w:r>
          </w:p>
        </w:tc>
        <w:tc>
          <w:tcPr>
            <w:tcW w:w="264" w:type="dxa"/>
            <w:tcBorders>
              <w:top w:val="nil"/>
              <w:left w:val="nil"/>
              <w:bottom w:val="nil"/>
              <w:right w:val="single" w:sz="4" w:space="0" w:color="auto"/>
            </w:tcBorders>
            <w:shd w:val="clear" w:color="000000" w:fill="FFFFFF"/>
            <w:noWrap/>
            <w:vAlign w:val="center"/>
            <w:hideMark/>
          </w:tcPr>
          <w:p w14:paraId="3A9A8423" w14:textId="77777777" w:rsidR="0073710F" w:rsidRPr="0073710F" w:rsidRDefault="0073710F" w:rsidP="0073710F">
            <w:pPr>
              <w:spacing w:after="0" w:line="240" w:lineRule="auto"/>
              <w:jc w:val="center"/>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rPr>
              <w:t> </w:t>
            </w:r>
          </w:p>
        </w:tc>
        <w:tc>
          <w:tcPr>
            <w:tcW w:w="889" w:type="dxa"/>
            <w:tcBorders>
              <w:top w:val="nil"/>
              <w:left w:val="nil"/>
              <w:bottom w:val="nil"/>
              <w:right w:val="nil"/>
            </w:tcBorders>
            <w:shd w:val="clear" w:color="000000" w:fill="FFFFFF"/>
            <w:noWrap/>
            <w:vAlign w:val="bottom"/>
            <w:hideMark/>
          </w:tcPr>
          <w:p w14:paraId="54CBF660"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(0.198)</w:t>
            </w:r>
          </w:p>
        </w:tc>
        <w:tc>
          <w:tcPr>
            <w:tcW w:w="274" w:type="dxa"/>
            <w:tcBorders>
              <w:top w:val="nil"/>
              <w:left w:val="nil"/>
              <w:bottom w:val="nil"/>
              <w:right w:val="nil"/>
            </w:tcBorders>
            <w:shd w:val="clear" w:color="000000" w:fill="FFFFFF"/>
            <w:noWrap/>
            <w:vAlign w:val="center"/>
            <w:hideMark/>
          </w:tcPr>
          <w:p w14:paraId="2FB79B8A"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2D77995B" w14:textId="77777777" w:rsidTr="0073710F">
        <w:trPr>
          <w:trHeight w:val="360"/>
        </w:trPr>
        <w:tc>
          <w:tcPr>
            <w:tcW w:w="5809" w:type="dxa"/>
            <w:vMerge w:val="restart"/>
            <w:tcBorders>
              <w:top w:val="nil"/>
              <w:left w:val="nil"/>
              <w:bottom w:val="nil"/>
              <w:right w:val="single" w:sz="4" w:space="0" w:color="auto"/>
            </w:tcBorders>
            <w:shd w:val="clear" w:color="000000" w:fill="FFFFFF"/>
            <w:vAlign w:val="center"/>
            <w:hideMark/>
          </w:tcPr>
          <w:p w14:paraId="18C5AE5C"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Coresidence × Originally Female College</w:t>
            </w:r>
          </w:p>
        </w:tc>
        <w:tc>
          <w:tcPr>
            <w:tcW w:w="904" w:type="dxa"/>
            <w:tcBorders>
              <w:top w:val="nil"/>
              <w:left w:val="nil"/>
              <w:bottom w:val="nil"/>
              <w:right w:val="nil"/>
            </w:tcBorders>
            <w:shd w:val="clear" w:color="000000" w:fill="FFFFFF"/>
            <w:noWrap/>
            <w:vAlign w:val="bottom"/>
            <w:hideMark/>
          </w:tcPr>
          <w:p w14:paraId="72BEAB6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0.738</w:t>
            </w:r>
          </w:p>
        </w:tc>
        <w:tc>
          <w:tcPr>
            <w:tcW w:w="264" w:type="dxa"/>
            <w:tcBorders>
              <w:top w:val="nil"/>
              <w:left w:val="nil"/>
              <w:bottom w:val="nil"/>
              <w:right w:val="single" w:sz="4" w:space="0" w:color="auto"/>
            </w:tcBorders>
            <w:shd w:val="clear" w:color="000000" w:fill="FFFFFF"/>
            <w:noWrap/>
            <w:vAlign w:val="center"/>
            <w:hideMark/>
          </w:tcPr>
          <w:p w14:paraId="17C28029"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c>
          <w:tcPr>
            <w:tcW w:w="889" w:type="dxa"/>
            <w:tcBorders>
              <w:top w:val="nil"/>
              <w:left w:val="nil"/>
              <w:bottom w:val="nil"/>
              <w:right w:val="nil"/>
            </w:tcBorders>
            <w:shd w:val="clear" w:color="000000" w:fill="FFFFFF"/>
            <w:noWrap/>
            <w:vAlign w:val="bottom"/>
            <w:hideMark/>
          </w:tcPr>
          <w:p w14:paraId="1BBB748C"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0.355</w:t>
            </w:r>
          </w:p>
        </w:tc>
        <w:tc>
          <w:tcPr>
            <w:tcW w:w="274" w:type="dxa"/>
            <w:tcBorders>
              <w:top w:val="nil"/>
              <w:left w:val="nil"/>
              <w:bottom w:val="nil"/>
              <w:right w:val="nil"/>
            </w:tcBorders>
            <w:shd w:val="clear" w:color="000000" w:fill="FFFFFF"/>
            <w:noWrap/>
            <w:vAlign w:val="center"/>
            <w:hideMark/>
          </w:tcPr>
          <w:p w14:paraId="0172D590"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xml:space="preserve">   </w:t>
            </w:r>
          </w:p>
        </w:tc>
      </w:tr>
      <w:tr w:rsidR="0073710F" w:rsidRPr="0073710F" w14:paraId="2EFD4F66" w14:textId="77777777" w:rsidTr="0073710F">
        <w:trPr>
          <w:trHeight w:val="360"/>
        </w:trPr>
        <w:tc>
          <w:tcPr>
            <w:tcW w:w="5809" w:type="dxa"/>
            <w:vMerge/>
            <w:tcBorders>
              <w:top w:val="nil"/>
              <w:left w:val="nil"/>
              <w:bottom w:val="nil"/>
              <w:right w:val="single" w:sz="4" w:space="0" w:color="auto"/>
            </w:tcBorders>
            <w:vAlign w:val="center"/>
            <w:hideMark/>
          </w:tcPr>
          <w:p w14:paraId="6042F9B2"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04720B81"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(0.322)</w:t>
            </w:r>
          </w:p>
        </w:tc>
        <w:tc>
          <w:tcPr>
            <w:tcW w:w="264" w:type="dxa"/>
            <w:tcBorders>
              <w:top w:val="nil"/>
              <w:left w:val="nil"/>
              <w:bottom w:val="nil"/>
              <w:right w:val="single" w:sz="4" w:space="0" w:color="auto"/>
            </w:tcBorders>
            <w:shd w:val="clear" w:color="000000" w:fill="FFFFFF"/>
            <w:noWrap/>
            <w:vAlign w:val="center"/>
            <w:hideMark/>
          </w:tcPr>
          <w:p w14:paraId="263009F7"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1BFB01C1"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(0.340)</w:t>
            </w:r>
          </w:p>
        </w:tc>
        <w:tc>
          <w:tcPr>
            <w:tcW w:w="274" w:type="dxa"/>
            <w:tcBorders>
              <w:top w:val="nil"/>
              <w:left w:val="nil"/>
              <w:bottom w:val="nil"/>
              <w:right w:val="nil"/>
            </w:tcBorders>
            <w:shd w:val="clear" w:color="000000" w:fill="FFFFFF"/>
            <w:noWrap/>
            <w:vAlign w:val="center"/>
            <w:hideMark/>
          </w:tcPr>
          <w:p w14:paraId="077F055C"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6FF786CB" w14:textId="77777777" w:rsidTr="0073710F">
        <w:trPr>
          <w:trHeight w:val="360"/>
        </w:trPr>
        <w:tc>
          <w:tcPr>
            <w:tcW w:w="5809" w:type="dxa"/>
            <w:vMerge w:val="restart"/>
            <w:tcBorders>
              <w:top w:val="nil"/>
              <w:left w:val="nil"/>
              <w:bottom w:val="nil"/>
              <w:right w:val="single" w:sz="4" w:space="0" w:color="auto"/>
            </w:tcBorders>
            <w:shd w:val="clear" w:color="000000" w:fill="FFFFFF"/>
            <w:vAlign w:val="center"/>
            <w:hideMark/>
          </w:tcPr>
          <w:p w14:paraId="46DBBFA4"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Male Head of College</w:t>
            </w:r>
          </w:p>
        </w:tc>
        <w:tc>
          <w:tcPr>
            <w:tcW w:w="904" w:type="dxa"/>
            <w:tcBorders>
              <w:top w:val="nil"/>
              <w:left w:val="nil"/>
              <w:bottom w:val="nil"/>
              <w:right w:val="nil"/>
            </w:tcBorders>
            <w:shd w:val="clear" w:color="000000" w:fill="FFFFFF"/>
            <w:noWrap/>
            <w:vAlign w:val="bottom"/>
            <w:hideMark/>
          </w:tcPr>
          <w:p w14:paraId="7753CA45"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-0.173</w:t>
            </w:r>
          </w:p>
        </w:tc>
        <w:tc>
          <w:tcPr>
            <w:tcW w:w="264" w:type="dxa"/>
            <w:tcBorders>
              <w:top w:val="nil"/>
              <w:left w:val="nil"/>
              <w:bottom w:val="nil"/>
              <w:right w:val="single" w:sz="4" w:space="0" w:color="auto"/>
            </w:tcBorders>
            <w:shd w:val="clear" w:color="000000" w:fill="FFFFFF"/>
            <w:noWrap/>
            <w:vAlign w:val="center"/>
            <w:hideMark/>
          </w:tcPr>
          <w:p w14:paraId="6483B525"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xml:space="preserve">   </w:t>
            </w:r>
          </w:p>
        </w:tc>
        <w:tc>
          <w:tcPr>
            <w:tcW w:w="889" w:type="dxa"/>
            <w:tcBorders>
              <w:top w:val="nil"/>
              <w:left w:val="nil"/>
              <w:bottom w:val="nil"/>
              <w:right w:val="nil"/>
            </w:tcBorders>
            <w:shd w:val="clear" w:color="000000" w:fill="FFFFFF"/>
            <w:noWrap/>
            <w:vAlign w:val="bottom"/>
            <w:hideMark/>
          </w:tcPr>
          <w:p w14:paraId="2BC944DA"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-0.154</w:t>
            </w:r>
          </w:p>
        </w:tc>
        <w:tc>
          <w:tcPr>
            <w:tcW w:w="274" w:type="dxa"/>
            <w:tcBorders>
              <w:top w:val="nil"/>
              <w:left w:val="nil"/>
              <w:bottom w:val="nil"/>
              <w:right w:val="nil"/>
            </w:tcBorders>
            <w:shd w:val="clear" w:color="000000" w:fill="FFFFFF"/>
            <w:noWrap/>
            <w:vAlign w:val="center"/>
            <w:hideMark/>
          </w:tcPr>
          <w:p w14:paraId="63633510"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xml:space="preserve">   </w:t>
            </w:r>
          </w:p>
        </w:tc>
      </w:tr>
      <w:tr w:rsidR="0073710F" w:rsidRPr="0073710F" w14:paraId="0AEED539" w14:textId="77777777" w:rsidTr="0073710F">
        <w:trPr>
          <w:trHeight w:val="360"/>
        </w:trPr>
        <w:tc>
          <w:tcPr>
            <w:tcW w:w="5809" w:type="dxa"/>
            <w:vMerge/>
            <w:tcBorders>
              <w:top w:val="nil"/>
              <w:left w:val="nil"/>
              <w:bottom w:val="nil"/>
              <w:right w:val="single" w:sz="4" w:space="0" w:color="auto"/>
            </w:tcBorders>
            <w:vAlign w:val="center"/>
            <w:hideMark/>
          </w:tcPr>
          <w:p w14:paraId="05FB0DBD"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0B4AC608"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(0.142)</w:t>
            </w:r>
          </w:p>
        </w:tc>
        <w:tc>
          <w:tcPr>
            <w:tcW w:w="264" w:type="dxa"/>
            <w:tcBorders>
              <w:top w:val="nil"/>
              <w:left w:val="nil"/>
              <w:bottom w:val="nil"/>
              <w:right w:val="single" w:sz="4" w:space="0" w:color="auto"/>
            </w:tcBorders>
            <w:shd w:val="clear" w:color="000000" w:fill="FFFFFF"/>
            <w:noWrap/>
            <w:vAlign w:val="center"/>
            <w:hideMark/>
          </w:tcPr>
          <w:p w14:paraId="4E9BE77D"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4E0C844B"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(0.143)</w:t>
            </w:r>
          </w:p>
        </w:tc>
        <w:tc>
          <w:tcPr>
            <w:tcW w:w="274" w:type="dxa"/>
            <w:tcBorders>
              <w:top w:val="nil"/>
              <w:left w:val="nil"/>
              <w:bottom w:val="nil"/>
              <w:right w:val="nil"/>
            </w:tcBorders>
            <w:shd w:val="clear" w:color="000000" w:fill="FFFFFF"/>
            <w:noWrap/>
            <w:vAlign w:val="center"/>
            <w:hideMark/>
          </w:tcPr>
          <w:p w14:paraId="513C21F0"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09F8C5A2" w14:textId="77777777" w:rsidTr="0073710F">
        <w:trPr>
          <w:trHeight w:val="340"/>
        </w:trPr>
        <w:tc>
          <w:tcPr>
            <w:tcW w:w="5809" w:type="dxa"/>
            <w:vMerge w:val="restart"/>
            <w:tcBorders>
              <w:top w:val="nil"/>
              <w:left w:val="nil"/>
              <w:bottom w:val="nil"/>
              <w:right w:val="single" w:sz="4" w:space="0" w:color="auto"/>
            </w:tcBorders>
            <w:shd w:val="clear" w:color="000000" w:fill="FFFFFF"/>
            <w:vAlign w:val="center"/>
            <w:hideMark/>
          </w:tcPr>
          <w:p w14:paraId="0776A7CE"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Not coresident in 1974 x I(Year ≥ 1974)</w:t>
            </w:r>
          </w:p>
        </w:tc>
        <w:tc>
          <w:tcPr>
            <w:tcW w:w="904" w:type="dxa"/>
            <w:tcBorders>
              <w:top w:val="nil"/>
              <w:left w:val="nil"/>
              <w:bottom w:val="nil"/>
              <w:right w:val="nil"/>
            </w:tcBorders>
            <w:shd w:val="clear" w:color="000000" w:fill="FFFFFF"/>
            <w:noWrap/>
            <w:vAlign w:val="bottom"/>
            <w:hideMark/>
          </w:tcPr>
          <w:p w14:paraId="6E1030DF"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           -</w:t>
            </w:r>
          </w:p>
        </w:tc>
        <w:tc>
          <w:tcPr>
            <w:tcW w:w="264" w:type="dxa"/>
            <w:tcBorders>
              <w:top w:val="nil"/>
              <w:left w:val="nil"/>
              <w:bottom w:val="nil"/>
              <w:right w:val="single" w:sz="4" w:space="0" w:color="auto"/>
            </w:tcBorders>
            <w:shd w:val="clear" w:color="000000" w:fill="FFFFFF"/>
            <w:noWrap/>
            <w:vAlign w:val="center"/>
            <w:hideMark/>
          </w:tcPr>
          <w:p w14:paraId="7E2FCD33"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0AE016D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0.266</w:t>
            </w:r>
          </w:p>
        </w:tc>
        <w:tc>
          <w:tcPr>
            <w:tcW w:w="274" w:type="dxa"/>
            <w:tcBorders>
              <w:top w:val="nil"/>
              <w:left w:val="nil"/>
              <w:bottom w:val="nil"/>
              <w:right w:val="nil"/>
            </w:tcBorders>
            <w:shd w:val="clear" w:color="000000" w:fill="FFFFFF"/>
            <w:noWrap/>
            <w:vAlign w:val="center"/>
            <w:hideMark/>
          </w:tcPr>
          <w:p w14:paraId="51D8EC94"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xml:space="preserve">   </w:t>
            </w:r>
          </w:p>
        </w:tc>
      </w:tr>
      <w:tr w:rsidR="0073710F" w:rsidRPr="0073710F" w14:paraId="5109C071" w14:textId="77777777" w:rsidTr="0073710F">
        <w:trPr>
          <w:trHeight w:val="340"/>
        </w:trPr>
        <w:tc>
          <w:tcPr>
            <w:tcW w:w="5809" w:type="dxa"/>
            <w:vMerge/>
            <w:tcBorders>
              <w:top w:val="nil"/>
              <w:left w:val="nil"/>
              <w:bottom w:val="nil"/>
              <w:right w:val="single" w:sz="4" w:space="0" w:color="auto"/>
            </w:tcBorders>
            <w:vAlign w:val="center"/>
            <w:hideMark/>
          </w:tcPr>
          <w:p w14:paraId="27C27F7E"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904" w:type="dxa"/>
            <w:tcBorders>
              <w:top w:val="nil"/>
              <w:left w:val="nil"/>
              <w:bottom w:val="nil"/>
              <w:right w:val="nil"/>
            </w:tcBorders>
            <w:shd w:val="clear" w:color="000000" w:fill="FFFFFF"/>
            <w:noWrap/>
            <w:vAlign w:val="bottom"/>
            <w:hideMark/>
          </w:tcPr>
          <w:p w14:paraId="6BA1BB9E"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c>
          <w:tcPr>
            <w:tcW w:w="264" w:type="dxa"/>
            <w:tcBorders>
              <w:top w:val="nil"/>
              <w:left w:val="nil"/>
              <w:bottom w:val="nil"/>
              <w:right w:val="single" w:sz="4" w:space="0" w:color="auto"/>
            </w:tcBorders>
            <w:shd w:val="clear" w:color="000000" w:fill="FFFFFF"/>
            <w:noWrap/>
            <w:vAlign w:val="center"/>
            <w:hideMark/>
          </w:tcPr>
          <w:p w14:paraId="36A79B1A"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56F6144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(0.284)</w:t>
            </w:r>
          </w:p>
        </w:tc>
        <w:tc>
          <w:tcPr>
            <w:tcW w:w="274" w:type="dxa"/>
            <w:tcBorders>
              <w:top w:val="nil"/>
              <w:left w:val="nil"/>
              <w:bottom w:val="nil"/>
              <w:right w:val="nil"/>
            </w:tcBorders>
            <w:shd w:val="clear" w:color="000000" w:fill="FFFFFF"/>
            <w:noWrap/>
            <w:vAlign w:val="center"/>
            <w:hideMark/>
          </w:tcPr>
          <w:p w14:paraId="3974CDD9"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17D5C221" w14:textId="77777777" w:rsidTr="0073710F">
        <w:trPr>
          <w:trHeight w:val="320"/>
        </w:trPr>
        <w:tc>
          <w:tcPr>
            <w:tcW w:w="5809" w:type="dxa"/>
            <w:vMerge w:val="restart"/>
            <w:tcBorders>
              <w:top w:val="nil"/>
              <w:left w:val="nil"/>
              <w:bottom w:val="single" w:sz="4" w:space="0" w:color="000000"/>
              <w:right w:val="single" w:sz="4" w:space="0" w:color="auto"/>
            </w:tcBorders>
            <w:shd w:val="clear" w:color="000000" w:fill="FFFFFF"/>
            <w:vAlign w:val="center"/>
            <w:hideMark/>
          </w:tcPr>
          <w:p w14:paraId="7E289B3E"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Not coresident in 1974 x I(Year ≥ 1974)  × Originally Female College</w:t>
            </w:r>
          </w:p>
        </w:tc>
        <w:tc>
          <w:tcPr>
            <w:tcW w:w="904" w:type="dxa"/>
            <w:tcBorders>
              <w:top w:val="nil"/>
              <w:left w:val="nil"/>
              <w:bottom w:val="nil"/>
              <w:right w:val="nil"/>
            </w:tcBorders>
            <w:shd w:val="clear" w:color="000000" w:fill="FFFFFF"/>
            <w:noWrap/>
            <w:vAlign w:val="bottom"/>
            <w:hideMark/>
          </w:tcPr>
          <w:p w14:paraId="76D8A4D0"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           -</w:t>
            </w:r>
          </w:p>
        </w:tc>
        <w:tc>
          <w:tcPr>
            <w:tcW w:w="264" w:type="dxa"/>
            <w:tcBorders>
              <w:top w:val="nil"/>
              <w:left w:val="nil"/>
              <w:bottom w:val="nil"/>
              <w:right w:val="single" w:sz="4" w:space="0" w:color="auto"/>
            </w:tcBorders>
            <w:shd w:val="clear" w:color="000000" w:fill="FFFFFF"/>
            <w:noWrap/>
            <w:vAlign w:val="center"/>
            <w:hideMark/>
          </w:tcPr>
          <w:p w14:paraId="7037B32D"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nil"/>
              <w:right w:val="nil"/>
            </w:tcBorders>
            <w:shd w:val="clear" w:color="000000" w:fill="FFFFFF"/>
            <w:noWrap/>
            <w:vAlign w:val="bottom"/>
            <w:hideMark/>
          </w:tcPr>
          <w:p w14:paraId="23E1A9AE"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1.091</w:t>
            </w:r>
          </w:p>
        </w:tc>
        <w:tc>
          <w:tcPr>
            <w:tcW w:w="274" w:type="dxa"/>
            <w:tcBorders>
              <w:top w:val="nil"/>
              <w:left w:val="nil"/>
              <w:bottom w:val="nil"/>
              <w:right w:val="nil"/>
            </w:tcBorders>
            <w:shd w:val="clear" w:color="000000" w:fill="FFFFFF"/>
            <w:noWrap/>
            <w:vAlign w:val="center"/>
            <w:hideMark/>
          </w:tcPr>
          <w:p w14:paraId="23373415"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22CDBA3C" w14:textId="77777777" w:rsidTr="0073710F">
        <w:trPr>
          <w:trHeight w:val="320"/>
        </w:trPr>
        <w:tc>
          <w:tcPr>
            <w:tcW w:w="5809" w:type="dxa"/>
            <w:vMerge/>
            <w:tcBorders>
              <w:top w:val="nil"/>
              <w:left w:val="nil"/>
              <w:bottom w:val="single" w:sz="4" w:space="0" w:color="000000"/>
              <w:right w:val="single" w:sz="4" w:space="0" w:color="auto"/>
            </w:tcBorders>
            <w:vAlign w:val="center"/>
            <w:hideMark/>
          </w:tcPr>
          <w:p w14:paraId="7E851DD0"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904" w:type="dxa"/>
            <w:tcBorders>
              <w:top w:val="nil"/>
              <w:left w:val="nil"/>
              <w:bottom w:val="single" w:sz="4" w:space="0" w:color="auto"/>
              <w:right w:val="nil"/>
            </w:tcBorders>
            <w:shd w:val="clear" w:color="000000" w:fill="FFFFFF"/>
            <w:noWrap/>
            <w:vAlign w:val="bottom"/>
            <w:hideMark/>
          </w:tcPr>
          <w:p w14:paraId="53D5ACBF"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c>
          <w:tcPr>
            <w:tcW w:w="264" w:type="dxa"/>
            <w:tcBorders>
              <w:top w:val="nil"/>
              <w:left w:val="nil"/>
              <w:bottom w:val="single" w:sz="4" w:space="0" w:color="auto"/>
              <w:right w:val="single" w:sz="4" w:space="0" w:color="auto"/>
            </w:tcBorders>
            <w:shd w:val="clear" w:color="000000" w:fill="FFFFFF"/>
            <w:noWrap/>
            <w:vAlign w:val="center"/>
            <w:hideMark/>
          </w:tcPr>
          <w:p w14:paraId="475102B6"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889" w:type="dxa"/>
            <w:tcBorders>
              <w:top w:val="nil"/>
              <w:left w:val="nil"/>
              <w:bottom w:val="single" w:sz="4" w:space="0" w:color="auto"/>
              <w:right w:val="nil"/>
            </w:tcBorders>
            <w:shd w:val="clear" w:color="000000" w:fill="FFFFFF"/>
            <w:noWrap/>
            <w:vAlign w:val="bottom"/>
            <w:hideMark/>
          </w:tcPr>
          <w:p w14:paraId="09E1EC78"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(0.268)</w:t>
            </w:r>
          </w:p>
        </w:tc>
        <w:tc>
          <w:tcPr>
            <w:tcW w:w="274" w:type="dxa"/>
            <w:tcBorders>
              <w:top w:val="nil"/>
              <w:left w:val="nil"/>
              <w:bottom w:val="single" w:sz="4" w:space="0" w:color="auto"/>
              <w:right w:val="nil"/>
            </w:tcBorders>
            <w:shd w:val="clear" w:color="000000" w:fill="FFFFFF"/>
            <w:noWrap/>
            <w:vAlign w:val="center"/>
            <w:hideMark/>
          </w:tcPr>
          <w:p w14:paraId="3B395DBC"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7F598182" w14:textId="77777777" w:rsidTr="0073710F">
        <w:trPr>
          <w:trHeight w:val="340"/>
        </w:trPr>
        <w:tc>
          <w:tcPr>
            <w:tcW w:w="5809" w:type="dxa"/>
            <w:tcBorders>
              <w:top w:val="nil"/>
              <w:left w:val="nil"/>
              <w:bottom w:val="double" w:sz="6" w:space="0" w:color="auto"/>
              <w:right w:val="single" w:sz="4" w:space="0" w:color="auto"/>
            </w:tcBorders>
            <w:shd w:val="clear" w:color="auto" w:fill="auto"/>
            <w:noWrap/>
            <w:vAlign w:val="center"/>
            <w:hideMark/>
          </w:tcPr>
          <w:p w14:paraId="496E4778"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pseudo R-squared</w:t>
            </w:r>
          </w:p>
        </w:tc>
        <w:tc>
          <w:tcPr>
            <w:tcW w:w="1168" w:type="dxa"/>
            <w:gridSpan w:val="2"/>
            <w:tcBorders>
              <w:top w:val="single" w:sz="4" w:space="0" w:color="auto"/>
              <w:left w:val="nil"/>
              <w:bottom w:val="double" w:sz="6" w:space="0" w:color="auto"/>
              <w:right w:val="single" w:sz="4" w:space="0" w:color="000000"/>
            </w:tcBorders>
            <w:shd w:val="clear" w:color="000000" w:fill="FFFFFF"/>
            <w:vAlign w:val="bottom"/>
            <w:hideMark/>
          </w:tcPr>
          <w:p w14:paraId="26B89EDC"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0.0856 </w:t>
            </w:r>
          </w:p>
        </w:tc>
        <w:tc>
          <w:tcPr>
            <w:tcW w:w="889" w:type="dxa"/>
            <w:tcBorders>
              <w:top w:val="nil"/>
              <w:left w:val="nil"/>
              <w:bottom w:val="double" w:sz="6" w:space="0" w:color="auto"/>
              <w:right w:val="nil"/>
            </w:tcBorders>
            <w:shd w:val="clear" w:color="000000" w:fill="FFFFFF"/>
            <w:noWrap/>
            <w:vAlign w:val="bottom"/>
            <w:hideMark/>
          </w:tcPr>
          <w:p w14:paraId="13B336B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0.0878</w:t>
            </w:r>
          </w:p>
        </w:tc>
        <w:tc>
          <w:tcPr>
            <w:tcW w:w="274" w:type="dxa"/>
            <w:tcBorders>
              <w:top w:val="nil"/>
              <w:left w:val="nil"/>
              <w:bottom w:val="double" w:sz="6" w:space="0" w:color="auto"/>
              <w:right w:val="nil"/>
            </w:tcBorders>
            <w:shd w:val="clear" w:color="000000" w:fill="FFFFFF"/>
            <w:noWrap/>
            <w:vAlign w:val="bottom"/>
            <w:hideMark/>
          </w:tcPr>
          <w:p w14:paraId="5D46C752"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r>
      <w:tr w:rsidR="0073710F" w:rsidRPr="0073710F" w14:paraId="162882E2" w14:textId="77777777" w:rsidTr="0073710F">
        <w:trPr>
          <w:trHeight w:val="1020"/>
        </w:trPr>
        <w:tc>
          <w:tcPr>
            <w:tcW w:w="8140" w:type="dxa"/>
            <w:gridSpan w:val="5"/>
            <w:tcBorders>
              <w:top w:val="double" w:sz="6" w:space="0" w:color="auto"/>
              <w:left w:val="nil"/>
              <w:bottom w:val="nil"/>
              <w:right w:val="nil"/>
            </w:tcBorders>
            <w:shd w:val="clear" w:color="auto" w:fill="auto"/>
            <w:vAlign w:val="bottom"/>
            <w:hideMark/>
          </w:tcPr>
          <w:p w14:paraId="27CA4792" w14:textId="77777777" w:rsidR="0073710F" w:rsidRPr="0073710F" w:rsidRDefault="0073710F" w:rsidP="0073710F">
            <w:pPr>
              <w:spacing w:after="0" w:line="240" w:lineRule="auto"/>
              <w:rPr>
                <w:rFonts w:ascii="Calibri" w:eastAsia="Times New Roman" w:hAnsi="Calibri" w:cs="Times New Roman"/>
                <w:color w:val="000000"/>
              </w:rPr>
            </w:pPr>
            <w:r w:rsidRPr="0073710F">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bl>
    <w:p w14:paraId="2B31DF96" w14:textId="77777777" w:rsidR="00EE3B2B" w:rsidRDefault="00EE3B2B" w:rsidP="00F425A6">
      <w:pPr>
        <w:spacing w:after="0" w:line="240" w:lineRule="auto"/>
        <w:rPr>
          <w:b/>
        </w:rPr>
      </w:pPr>
    </w:p>
    <w:p w14:paraId="335B3BE9" w14:textId="77777777" w:rsidR="00EE3B2B" w:rsidRDefault="00EE3B2B">
      <w:pPr>
        <w:rPr>
          <w:b/>
        </w:rPr>
      </w:pPr>
      <w:r>
        <w:rPr>
          <w:b/>
        </w:rPr>
        <w:br w:type="page"/>
      </w:r>
    </w:p>
    <w:tbl>
      <w:tblPr>
        <w:tblW w:w="9760" w:type="dxa"/>
        <w:tblLook w:val="04A0" w:firstRow="1" w:lastRow="0" w:firstColumn="1" w:lastColumn="0" w:noHBand="0" w:noVBand="1"/>
      </w:tblPr>
      <w:tblGrid>
        <w:gridCol w:w="6282"/>
        <w:gridCol w:w="1344"/>
        <w:gridCol w:w="411"/>
        <w:gridCol w:w="940"/>
        <w:gridCol w:w="940"/>
      </w:tblGrid>
      <w:tr w:rsidR="0073710F" w:rsidRPr="0073710F" w14:paraId="6135E50A" w14:textId="77777777" w:rsidTr="0073710F">
        <w:trPr>
          <w:trHeight w:val="320"/>
        </w:trPr>
        <w:tc>
          <w:tcPr>
            <w:tcW w:w="7880" w:type="dxa"/>
            <w:gridSpan w:val="3"/>
            <w:tcBorders>
              <w:top w:val="nil"/>
              <w:left w:val="nil"/>
              <w:bottom w:val="nil"/>
              <w:right w:val="nil"/>
            </w:tcBorders>
            <w:shd w:val="clear" w:color="000000" w:fill="FFFFFF"/>
            <w:vAlign w:val="bottom"/>
            <w:hideMark/>
          </w:tcPr>
          <w:p w14:paraId="4E1618E2" w14:textId="77777777" w:rsidR="0073710F" w:rsidRPr="0073710F" w:rsidRDefault="0073710F" w:rsidP="0073710F">
            <w:pPr>
              <w:spacing w:after="0" w:line="240" w:lineRule="auto"/>
              <w:jc w:val="center"/>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lastRenderedPageBreak/>
              <w:t>Table A2</w:t>
            </w:r>
          </w:p>
        </w:tc>
        <w:tc>
          <w:tcPr>
            <w:tcW w:w="940" w:type="dxa"/>
            <w:tcBorders>
              <w:top w:val="nil"/>
              <w:left w:val="nil"/>
              <w:bottom w:val="nil"/>
              <w:right w:val="nil"/>
            </w:tcBorders>
            <w:shd w:val="clear" w:color="auto" w:fill="auto"/>
            <w:vAlign w:val="bottom"/>
            <w:hideMark/>
          </w:tcPr>
          <w:p w14:paraId="40C57BA1" w14:textId="77777777" w:rsidR="0073710F" w:rsidRPr="0073710F" w:rsidRDefault="0073710F" w:rsidP="0073710F">
            <w:pPr>
              <w:spacing w:after="0" w:line="240" w:lineRule="auto"/>
              <w:jc w:val="center"/>
              <w:rPr>
                <w:rFonts w:ascii="Times New Roman" w:eastAsia="Times New Roman" w:hAnsi="Times New Roman" w:cs="Times New Roman"/>
                <w:b/>
                <w:bCs/>
                <w:sz w:val="24"/>
                <w:szCs w:val="24"/>
              </w:rPr>
            </w:pPr>
          </w:p>
        </w:tc>
        <w:tc>
          <w:tcPr>
            <w:tcW w:w="940" w:type="dxa"/>
            <w:tcBorders>
              <w:top w:val="nil"/>
              <w:left w:val="nil"/>
              <w:bottom w:val="nil"/>
              <w:right w:val="nil"/>
            </w:tcBorders>
            <w:shd w:val="clear" w:color="auto" w:fill="auto"/>
            <w:noWrap/>
            <w:vAlign w:val="bottom"/>
            <w:hideMark/>
          </w:tcPr>
          <w:p w14:paraId="7324AE0C" w14:textId="77777777" w:rsidR="0073710F" w:rsidRPr="0073710F" w:rsidRDefault="0073710F" w:rsidP="0073710F">
            <w:pPr>
              <w:spacing w:after="0" w:line="240" w:lineRule="auto"/>
              <w:jc w:val="center"/>
              <w:rPr>
                <w:rFonts w:ascii="Times New Roman" w:eastAsia="Times New Roman" w:hAnsi="Times New Roman" w:cs="Times New Roman"/>
                <w:sz w:val="20"/>
                <w:szCs w:val="20"/>
              </w:rPr>
            </w:pPr>
          </w:p>
        </w:tc>
      </w:tr>
      <w:tr w:rsidR="0073710F" w:rsidRPr="0073710F" w14:paraId="0A34C6E4" w14:textId="77777777" w:rsidTr="0073710F">
        <w:trPr>
          <w:trHeight w:val="320"/>
        </w:trPr>
        <w:tc>
          <w:tcPr>
            <w:tcW w:w="9760" w:type="dxa"/>
            <w:gridSpan w:val="5"/>
            <w:tcBorders>
              <w:top w:val="nil"/>
              <w:left w:val="nil"/>
              <w:bottom w:val="single" w:sz="4" w:space="0" w:color="auto"/>
              <w:right w:val="nil"/>
            </w:tcBorders>
            <w:shd w:val="clear" w:color="000000" w:fill="FFFFFF"/>
            <w:vAlign w:val="bottom"/>
            <w:hideMark/>
          </w:tcPr>
          <w:p w14:paraId="6BA09303" w14:textId="77777777" w:rsidR="0073710F" w:rsidRPr="0073710F" w:rsidRDefault="0073710F" w:rsidP="0073710F">
            <w:pPr>
              <w:spacing w:after="0" w:line="240" w:lineRule="auto"/>
              <w:jc w:val="center"/>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t>Fractional Logistic Regression Estimates of the Determinates of Percent Women Faculty</w:t>
            </w:r>
          </w:p>
        </w:tc>
      </w:tr>
      <w:tr w:rsidR="0073710F" w:rsidRPr="0073710F" w14:paraId="7B74CE5B" w14:textId="77777777" w:rsidTr="0073710F">
        <w:trPr>
          <w:trHeight w:val="340"/>
        </w:trPr>
        <w:tc>
          <w:tcPr>
            <w:tcW w:w="6282" w:type="dxa"/>
            <w:tcBorders>
              <w:top w:val="nil"/>
              <w:left w:val="nil"/>
              <w:bottom w:val="double" w:sz="6" w:space="0" w:color="auto"/>
              <w:right w:val="single" w:sz="4" w:space="0" w:color="auto"/>
            </w:tcBorders>
            <w:shd w:val="clear" w:color="000000" w:fill="FFFFFF"/>
            <w:noWrap/>
            <w:vAlign w:val="bottom"/>
            <w:hideMark/>
          </w:tcPr>
          <w:p w14:paraId="25BEC26A" w14:textId="77777777" w:rsidR="0073710F" w:rsidRPr="0073710F" w:rsidRDefault="0073710F" w:rsidP="0073710F">
            <w:pPr>
              <w:spacing w:after="0" w:line="240" w:lineRule="auto"/>
              <w:rPr>
                <w:rFonts w:ascii="Times New Roman" w:eastAsia="Times New Roman" w:hAnsi="Times New Roman" w:cs="Times New Roman"/>
                <w:b/>
                <w:bCs/>
                <w:sz w:val="24"/>
                <w:szCs w:val="24"/>
              </w:rPr>
            </w:pPr>
            <w:r w:rsidRPr="0073710F">
              <w:rPr>
                <w:rFonts w:ascii="Times New Roman" w:eastAsia="Times New Roman" w:hAnsi="Times New Roman" w:cs="Times New Roman"/>
                <w:b/>
                <w:bCs/>
                <w:sz w:val="24"/>
                <w:szCs w:val="24"/>
              </w:rPr>
              <w:t xml:space="preserve">Variable </w:t>
            </w:r>
          </w:p>
        </w:tc>
        <w:tc>
          <w:tcPr>
            <w:tcW w:w="1598" w:type="dxa"/>
            <w:gridSpan w:val="2"/>
            <w:tcBorders>
              <w:top w:val="single" w:sz="4" w:space="0" w:color="auto"/>
              <w:left w:val="nil"/>
              <w:bottom w:val="double" w:sz="6" w:space="0" w:color="auto"/>
              <w:right w:val="single" w:sz="4" w:space="0" w:color="000000"/>
            </w:tcBorders>
            <w:shd w:val="clear" w:color="000000" w:fill="FFFFFF"/>
            <w:vAlign w:val="bottom"/>
            <w:hideMark/>
          </w:tcPr>
          <w:p w14:paraId="22352F15" w14:textId="77777777" w:rsidR="0073710F" w:rsidRPr="0073710F" w:rsidRDefault="0073710F" w:rsidP="0073710F">
            <w:pPr>
              <w:spacing w:after="0" w:line="240" w:lineRule="auto"/>
              <w:jc w:val="center"/>
              <w:rPr>
                <w:rFonts w:ascii="Times New Roman" w:eastAsia="Times New Roman" w:hAnsi="Times New Roman" w:cs="Times New Roman"/>
                <w:b/>
                <w:bCs/>
                <w:color w:val="000000"/>
                <w:sz w:val="24"/>
                <w:szCs w:val="24"/>
              </w:rPr>
            </w:pPr>
            <w:r w:rsidRPr="0073710F">
              <w:rPr>
                <w:rFonts w:ascii="Times New Roman" w:eastAsia="Times New Roman" w:hAnsi="Times New Roman" w:cs="Times New Roman"/>
                <w:b/>
                <w:bCs/>
                <w:color w:val="000000"/>
                <w:sz w:val="24"/>
                <w:szCs w:val="24"/>
              </w:rPr>
              <w:t>(1)</w:t>
            </w:r>
          </w:p>
        </w:tc>
        <w:tc>
          <w:tcPr>
            <w:tcW w:w="1880" w:type="dxa"/>
            <w:gridSpan w:val="2"/>
            <w:tcBorders>
              <w:top w:val="nil"/>
              <w:left w:val="nil"/>
              <w:bottom w:val="double" w:sz="6" w:space="0" w:color="auto"/>
              <w:right w:val="nil"/>
            </w:tcBorders>
            <w:shd w:val="clear" w:color="000000" w:fill="FFFFFF"/>
            <w:vAlign w:val="bottom"/>
            <w:hideMark/>
          </w:tcPr>
          <w:p w14:paraId="6D5BF28C" w14:textId="77777777" w:rsidR="0073710F" w:rsidRPr="0073710F" w:rsidRDefault="0073710F" w:rsidP="0073710F">
            <w:pPr>
              <w:spacing w:after="0" w:line="240" w:lineRule="auto"/>
              <w:jc w:val="center"/>
              <w:rPr>
                <w:rFonts w:ascii="Times New Roman" w:eastAsia="Times New Roman" w:hAnsi="Times New Roman" w:cs="Times New Roman"/>
                <w:b/>
                <w:bCs/>
                <w:color w:val="000000"/>
                <w:sz w:val="24"/>
                <w:szCs w:val="24"/>
              </w:rPr>
            </w:pPr>
            <w:r w:rsidRPr="0073710F">
              <w:rPr>
                <w:rFonts w:ascii="Times New Roman" w:eastAsia="Times New Roman" w:hAnsi="Times New Roman" w:cs="Times New Roman"/>
                <w:b/>
                <w:bCs/>
                <w:color w:val="000000"/>
                <w:sz w:val="24"/>
                <w:szCs w:val="24"/>
              </w:rPr>
              <w:t>(2)</w:t>
            </w:r>
          </w:p>
        </w:tc>
      </w:tr>
      <w:tr w:rsidR="0073710F" w:rsidRPr="0073710F" w14:paraId="4EBBCF60" w14:textId="77777777" w:rsidTr="0073710F">
        <w:trPr>
          <w:trHeight w:val="340"/>
        </w:trPr>
        <w:tc>
          <w:tcPr>
            <w:tcW w:w="6282" w:type="dxa"/>
            <w:vMerge w:val="restart"/>
            <w:tcBorders>
              <w:top w:val="nil"/>
              <w:left w:val="nil"/>
              <w:bottom w:val="nil"/>
              <w:right w:val="single" w:sz="4" w:space="0" w:color="auto"/>
            </w:tcBorders>
            <w:shd w:val="clear" w:color="000000" w:fill="FFFFFF"/>
            <w:vAlign w:val="center"/>
            <w:hideMark/>
          </w:tcPr>
          <w:p w14:paraId="4B1D6FAB"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Coresidence</w:t>
            </w:r>
          </w:p>
        </w:tc>
        <w:tc>
          <w:tcPr>
            <w:tcW w:w="1344" w:type="dxa"/>
            <w:tcBorders>
              <w:top w:val="nil"/>
              <w:left w:val="nil"/>
              <w:bottom w:val="nil"/>
              <w:right w:val="nil"/>
            </w:tcBorders>
            <w:shd w:val="clear" w:color="000000" w:fill="FFFFFF"/>
            <w:noWrap/>
            <w:vAlign w:val="bottom"/>
            <w:hideMark/>
          </w:tcPr>
          <w:p w14:paraId="4351E1A4"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4.482</w:t>
            </w:r>
          </w:p>
        </w:tc>
        <w:tc>
          <w:tcPr>
            <w:tcW w:w="254" w:type="dxa"/>
            <w:tcBorders>
              <w:top w:val="nil"/>
              <w:left w:val="nil"/>
              <w:bottom w:val="nil"/>
              <w:right w:val="single" w:sz="4" w:space="0" w:color="auto"/>
            </w:tcBorders>
            <w:shd w:val="clear" w:color="000000" w:fill="FFFFFF"/>
            <w:noWrap/>
            <w:vAlign w:val="center"/>
            <w:hideMark/>
          </w:tcPr>
          <w:p w14:paraId="374A2759"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c>
          <w:tcPr>
            <w:tcW w:w="940" w:type="dxa"/>
            <w:tcBorders>
              <w:top w:val="nil"/>
              <w:left w:val="nil"/>
              <w:bottom w:val="nil"/>
              <w:right w:val="nil"/>
            </w:tcBorders>
            <w:shd w:val="clear" w:color="000000" w:fill="FFFFFF"/>
            <w:noWrap/>
            <w:vAlign w:val="bottom"/>
            <w:hideMark/>
          </w:tcPr>
          <w:p w14:paraId="32D441D9"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2.883</w:t>
            </w:r>
          </w:p>
        </w:tc>
        <w:tc>
          <w:tcPr>
            <w:tcW w:w="940" w:type="dxa"/>
            <w:tcBorders>
              <w:top w:val="nil"/>
              <w:left w:val="nil"/>
              <w:bottom w:val="nil"/>
              <w:right w:val="nil"/>
            </w:tcBorders>
            <w:shd w:val="clear" w:color="000000" w:fill="FFFFFF"/>
            <w:noWrap/>
            <w:vAlign w:val="bottom"/>
            <w:hideMark/>
          </w:tcPr>
          <w:p w14:paraId="13EEE45F"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6E2CB34C" w14:textId="77777777" w:rsidTr="0073710F">
        <w:trPr>
          <w:trHeight w:val="340"/>
        </w:trPr>
        <w:tc>
          <w:tcPr>
            <w:tcW w:w="6282" w:type="dxa"/>
            <w:vMerge/>
            <w:tcBorders>
              <w:top w:val="nil"/>
              <w:left w:val="nil"/>
              <w:bottom w:val="nil"/>
              <w:right w:val="single" w:sz="4" w:space="0" w:color="auto"/>
            </w:tcBorders>
            <w:vAlign w:val="center"/>
            <w:hideMark/>
          </w:tcPr>
          <w:p w14:paraId="160F7EED"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1344" w:type="dxa"/>
            <w:tcBorders>
              <w:top w:val="nil"/>
              <w:left w:val="nil"/>
              <w:bottom w:val="nil"/>
              <w:right w:val="nil"/>
            </w:tcBorders>
            <w:shd w:val="clear" w:color="000000" w:fill="FFFFFF"/>
            <w:noWrap/>
            <w:vAlign w:val="bottom"/>
            <w:hideMark/>
          </w:tcPr>
          <w:p w14:paraId="6B8516E6"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(0.721)</w:t>
            </w:r>
          </w:p>
        </w:tc>
        <w:tc>
          <w:tcPr>
            <w:tcW w:w="254" w:type="dxa"/>
            <w:tcBorders>
              <w:top w:val="nil"/>
              <w:left w:val="nil"/>
              <w:bottom w:val="nil"/>
              <w:right w:val="single" w:sz="4" w:space="0" w:color="auto"/>
            </w:tcBorders>
            <w:shd w:val="clear" w:color="000000" w:fill="FFFFFF"/>
            <w:noWrap/>
            <w:vAlign w:val="center"/>
            <w:hideMark/>
          </w:tcPr>
          <w:p w14:paraId="6BCC565C" w14:textId="77777777" w:rsidR="0073710F" w:rsidRPr="0073710F" w:rsidRDefault="0073710F" w:rsidP="0073710F">
            <w:pPr>
              <w:spacing w:after="0" w:line="240" w:lineRule="auto"/>
              <w:jc w:val="center"/>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rPr>
              <w:t> </w:t>
            </w:r>
          </w:p>
        </w:tc>
        <w:tc>
          <w:tcPr>
            <w:tcW w:w="940" w:type="dxa"/>
            <w:tcBorders>
              <w:top w:val="nil"/>
              <w:left w:val="nil"/>
              <w:bottom w:val="nil"/>
              <w:right w:val="nil"/>
            </w:tcBorders>
            <w:shd w:val="clear" w:color="000000" w:fill="FFFFFF"/>
            <w:noWrap/>
            <w:vAlign w:val="bottom"/>
            <w:hideMark/>
          </w:tcPr>
          <w:p w14:paraId="1919FB5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(0.427)</w:t>
            </w:r>
          </w:p>
        </w:tc>
        <w:tc>
          <w:tcPr>
            <w:tcW w:w="940" w:type="dxa"/>
            <w:tcBorders>
              <w:top w:val="nil"/>
              <w:left w:val="nil"/>
              <w:bottom w:val="nil"/>
              <w:right w:val="nil"/>
            </w:tcBorders>
            <w:shd w:val="clear" w:color="000000" w:fill="FFFFFF"/>
            <w:noWrap/>
            <w:vAlign w:val="bottom"/>
            <w:hideMark/>
          </w:tcPr>
          <w:p w14:paraId="14CBEC16" w14:textId="77777777" w:rsidR="0073710F" w:rsidRPr="0073710F" w:rsidRDefault="0073710F" w:rsidP="0073710F">
            <w:pPr>
              <w:spacing w:after="0" w:line="240" w:lineRule="auto"/>
              <w:jc w:val="center"/>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rPr>
              <w:t> </w:t>
            </w:r>
          </w:p>
        </w:tc>
      </w:tr>
      <w:tr w:rsidR="0073710F" w:rsidRPr="0073710F" w14:paraId="6AA5DD7F" w14:textId="77777777" w:rsidTr="0073710F">
        <w:trPr>
          <w:trHeight w:val="380"/>
        </w:trPr>
        <w:tc>
          <w:tcPr>
            <w:tcW w:w="6282" w:type="dxa"/>
            <w:vMerge w:val="restart"/>
            <w:tcBorders>
              <w:top w:val="nil"/>
              <w:left w:val="nil"/>
              <w:bottom w:val="nil"/>
              <w:right w:val="single" w:sz="4" w:space="0" w:color="auto"/>
            </w:tcBorders>
            <w:shd w:val="clear" w:color="000000" w:fill="FFFFFF"/>
            <w:vAlign w:val="center"/>
            <w:hideMark/>
          </w:tcPr>
          <w:p w14:paraId="43E76A5D"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Coresidence × Originally Female College</w:t>
            </w:r>
          </w:p>
        </w:tc>
        <w:tc>
          <w:tcPr>
            <w:tcW w:w="1344" w:type="dxa"/>
            <w:tcBorders>
              <w:top w:val="nil"/>
              <w:left w:val="nil"/>
              <w:bottom w:val="nil"/>
              <w:right w:val="nil"/>
            </w:tcBorders>
            <w:shd w:val="clear" w:color="000000" w:fill="FFFFFF"/>
            <w:noWrap/>
            <w:vAlign w:val="bottom"/>
            <w:hideMark/>
          </w:tcPr>
          <w:p w14:paraId="1FE84016"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-8.690</w:t>
            </w:r>
          </w:p>
        </w:tc>
        <w:tc>
          <w:tcPr>
            <w:tcW w:w="254" w:type="dxa"/>
            <w:tcBorders>
              <w:top w:val="nil"/>
              <w:left w:val="nil"/>
              <w:bottom w:val="nil"/>
              <w:right w:val="single" w:sz="4" w:space="0" w:color="auto"/>
            </w:tcBorders>
            <w:shd w:val="clear" w:color="000000" w:fill="FFFFFF"/>
            <w:noWrap/>
            <w:vAlign w:val="center"/>
            <w:hideMark/>
          </w:tcPr>
          <w:p w14:paraId="2BEF5EB7"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c>
          <w:tcPr>
            <w:tcW w:w="940" w:type="dxa"/>
            <w:tcBorders>
              <w:top w:val="nil"/>
              <w:left w:val="nil"/>
              <w:bottom w:val="nil"/>
              <w:right w:val="nil"/>
            </w:tcBorders>
            <w:shd w:val="clear" w:color="000000" w:fill="FFFFFF"/>
            <w:noWrap/>
            <w:vAlign w:val="bottom"/>
            <w:hideMark/>
          </w:tcPr>
          <w:p w14:paraId="19115A57"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-6.993</w:t>
            </w:r>
          </w:p>
        </w:tc>
        <w:tc>
          <w:tcPr>
            <w:tcW w:w="940" w:type="dxa"/>
            <w:tcBorders>
              <w:top w:val="nil"/>
              <w:left w:val="nil"/>
              <w:bottom w:val="nil"/>
              <w:right w:val="nil"/>
            </w:tcBorders>
            <w:shd w:val="clear" w:color="000000" w:fill="FFFFFF"/>
            <w:noWrap/>
            <w:vAlign w:val="bottom"/>
            <w:hideMark/>
          </w:tcPr>
          <w:p w14:paraId="49C37680"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2821B477" w14:textId="77777777" w:rsidTr="0073710F">
        <w:trPr>
          <w:trHeight w:val="320"/>
        </w:trPr>
        <w:tc>
          <w:tcPr>
            <w:tcW w:w="6282" w:type="dxa"/>
            <w:vMerge/>
            <w:tcBorders>
              <w:top w:val="nil"/>
              <w:left w:val="nil"/>
              <w:bottom w:val="nil"/>
              <w:right w:val="single" w:sz="4" w:space="0" w:color="auto"/>
            </w:tcBorders>
            <w:vAlign w:val="center"/>
            <w:hideMark/>
          </w:tcPr>
          <w:p w14:paraId="782F3889"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1344" w:type="dxa"/>
            <w:tcBorders>
              <w:top w:val="nil"/>
              <w:left w:val="nil"/>
              <w:bottom w:val="nil"/>
              <w:right w:val="nil"/>
            </w:tcBorders>
            <w:shd w:val="clear" w:color="000000" w:fill="FFFFFF"/>
            <w:noWrap/>
            <w:vAlign w:val="bottom"/>
            <w:hideMark/>
          </w:tcPr>
          <w:p w14:paraId="4698D316"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(0.628)</w:t>
            </w:r>
          </w:p>
        </w:tc>
        <w:tc>
          <w:tcPr>
            <w:tcW w:w="254" w:type="dxa"/>
            <w:tcBorders>
              <w:top w:val="nil"/>
              <w:left w:val="nil"/>
              <w:bottom w:val="nil"/>
              <w:right w:val="single" w:sz="4" w:space="0" w:color="auto"/>
            </w:tcBorders>
            <w:shd w:val="clear" w:color="000000" w:fill="FFFFFF"/>
            <w:noWrap/>
            <w:vAlign w:val="center"/>
            <w:hideMark/>
          </w:tcPr>
          <w:p w14:paraId="6FE6BB72"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940" w:type="dxa"/>
            <w:tcBorders>
              <w:top w:val="nil"/>
              <w:left w:val="nil"/>
              <w:bottom w:val="nil"/>
              <w:right w:val="nil"/>
            </w:tcBorders>
            <w:shd w:val="clear" w:color="000000" w:fill="FFFFFF"/>
            <w:noWrap/>
            <w:vAlign w:val="bottom"/>
            <w:hideMark/>
          </w:tcPr>
          <w:p w14:paraId="01B1F70F"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(0.462)</w:t>
            </w:r>
          </w:p>
        </w:tc>
        <w:tc>
          <w:tcPr>
            <w:tcW w:w="940" w:type="dxa"/>
            <w:tcBorders>
              <w:top w:val="nil"/>
              <w:left w:val="nil"/>
              <w:bottom w:val="nil"/>
              <w:right w:val="nil"/>
            </w:tcBorders>
            <w:shd w:val="clear" w:color="000000" w:fill="FFFFFF"/>
            <w:noWrap/>
            <w:vAlign w:val="bottom"/>
            <w:hideMark/>
          </w:tcPr>
          <w:p w14:paraId="235FAAA1" w14:textId="77777777" w:rsidR="0073710F" w:rsidRPr="0073710F" w:rsidRDefault="0073710F" w:rsidP="0073710F">
            <w:pPr>
              <w:spacing w:after="0" w:line="240" w:lineRule="auto"/>
              <w:jc w:val="center"/>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rPr>
              <w:t> </w:t>
            </w:r>
          </w:p>
        </w:tc>
      </w:tr>
      <w:tr w:rsidR="0073710F" w:rsidRPr="0073710F" w14:paraId="1EE61883" w14:textId="77777777" w:rsidTr="0073710F">
        <w:trPr>
          <w:trHeight w:val="320"/>
        </w:trPr>
        <w:tc>
          <w:tcPr>
            <w:tcW w:w="6282" w:type="dxa"/>
            <w:vMerge w:val="restart"/>
            <w:tcBorders>
              <w:top w:val="nil"/>
              <w:left w:val="nil"/>
              <w:bottom w:val="nil"/>
              <w:right w:val="single" w:sz="4" w:space="0" w:color="auto"/>
            </w:tcBorders>
            <w:shd w:val="clear" w:color="000000" w:fill="FFFFFF"/>
            <w:vAlign w:val="center"/>
            <w:hideMark/>
          </w:tcPr>
          <w:p w14:paraId="3014F8C5"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Male Head of College</w:t>
            </w:r>
          </w:p>
        </w:tc>
        <w:tc>
          <w:tcPr>
            <w:tcW w:w="1344" w:type="dxa"/>
            <w:tcBorders>
              <w:top w:val="nil"/>
              <w:left w:val="nil"/>
              <w:bottom w:val="nil"/>
              <w:right w:val="nil"/>
            </w:tcBorders>
            <w:shd w:val="clear" w:color="000000" w:fill="FFFFFF"/>
            <w:noWrap/>
            <w:vAlign w:val="bottom"/>
            <w:hideMark/>
          </w:tcPr>
          <w:p w14:paraId="2F98789B"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-0.340</w:t>
            </w:r>
          </w:p>
        </w:tc>
        <w:tc>
          <w:tcPr>
            <w:tcW w:w="254" w:type="dxa"/>
            <w:tcBorders>
              <w:top w:val="nil"/>
              <w:left w:val="nil"/>
              <w:bottom w:val="nil"/>
              <w:right w:val="single" w:sz="4" w:space="0" w:color="auto"/>
            </w:tcBorders>
            <w:shd w:val="clear" w:color="000000" w:fill="FFFFFF"/>
            <w:noWrap/>
            <w:vAlign w:val="center"/>
            <w:hideMark/>
          </w:tcPr>
          <w:p w14:paraId="0757A063"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c>
          <w:tcPr>
            <w:tcW w:w="940" w:type="dxa"/>
            <w:tcBorders>
              <w:top w:val="nil"/>
              <w:left w:val="nil"/>
              <w:bottom w:val="nil"/>
              <w:right w:val="nil"/>
            </w:tcBorders>
            <w:shd w:val="clear" w:color="000000" w:fill="FFFFFF"/>
            <w:noWrap/>
            <w:vAlign w:val="bottom"/>
            <w:hideMark/>
          </w:tcPr>
          <w:p w14:paraId="47B0B3C8"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-0.341</w:t>
            </w:r>
          </w:p>
        </w:tc>
        <w:tc>
          <w:tcPr>
            <w:tcW w:w="940" w:type="dxa"/>
            <w:tcBorders>
              <w:top w:val="nil"/>
              <w:left w:val="nil"/>
              <w:bottom w:val="nil"/>
              <w:right w:val="nil"/>
            </w:tcBorders>
            <w:shd w:val="clear" w:color="000000" w:fill="FFFFFF"/>
            <w:noWrap/>
            <w:vAlign w:val="bottom"/>
            <w:hideMark/>
          </w:tcPr>
          <w:p w14:paraId="60EDD3E0"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4FC5DCCB" w14:textId="77777777" w:rsidTr="0073710F">
        <w:trPr>
          <w:trHeight w:val="320"/>
        </w:trPr>
        <w:tc>
          <w:tcPr>
            <w:tcW w:w="6282" w:type="dxa"/>
            <w:vMerge/>
            <w:tcBorders>
              <w:top w:val="nil"/>
              <w:left w:val="nil"/>
              <w:bottom w:val="nil"/>
              <w:right w:val="single" w:sz="4" w:space="0" w:color="auto"/>
            </w:tcBorders>
            <w:vAlign w:val="center"/>
            <w:hideMark/>
          </w:tcPr>
          <w:p w14:paraId="7C470EC9"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1344" w:type="dxa"/>
            <w:tcBorders>
              <w:top w:val="nil"/>
              <w:left w:val="nil"/>
              <w:bottom w:val="nil"/>
              <w:right w:val="nil"/>
            </w:tcBorders>
            <w:shd w:val="clear" w:color="000000" w:fill="FFFFFF"/>
            <w:noWrap/>
            <w:vAlign w:val="bottom"/>
            <w:hideMark/>
          </w:tcPr>
          <w:p w14:paraId="4D0F33DF"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(0.107)</w:t>
            </w:r>
          </w:p>
        </w:tc>
        <w:tc>
          <w:tcPr>
            <w:tcW w:w="254" w:type="dxa"/>
            <w:tcBorders>
              <w:top w:val="nil"/>
              <w:left w:val="nil"/>
              <w:bottom w:val="nil"/>
              <w:right w:val="single" w:sz="4" w:space="0" w:color="auto"/>
            </w:tcBorders>
            <w:shd w:val="clear" w:color="000000" w:fill="FFFFFF"/>
            <w:noWrap/>
            <w:vAlign w:val="center"/>
            <w:hideMark/>
          </w:tcPr>
          <w:p w14:paraId="5B45DFC8"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c>
          <w:tcPr>
            <w:tcW w:w="940" w:type="dxa"/>
            <w:tcBorders>
              <w:top w:val="nil"/>
              <w:left w:val="nil"/>
              <w:bottom w:val="nil"/>
              <w:right w:val="nil"/>
            </w:tcBorders>
            <w:shd w:val="clear" w:color="000000" w:fill="FFFFFF"/>
            <w:noWrap/>
            <w:vAlign w:val="bottom"/>
            <w:hideMark/>
          </w:tcPr>
          <w:p w14:paraId="22A6D978"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(0.107)</w:t>
            </w:r>
          </w:p>
        </w:tc>
        <w:tc>
          <w:tcPr>
            <w:tcW w:w="940" w:type="dxa"/>
            <w:tcBorders>
              <w:top w:val="nil"/>
              <w:left w:val="nil"/>
              <w:bottom w:val="nil"/>
              <w:right w:val="nil"/>
            </w:tcBorders>
            <w:shd w:val="clear" w:color="000000" w:fill="FFFFFF"/>
            <w:noWrap/>
            <w:vAlign w:val="center"/>
            <w:hideMark/>
          </w:tcPr>
          <w:p w14:paraId="75F193F4"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39E1EACD" w14:textId="77777777" w:rsidTr="0073710F">
        <w:trPr>
          <w:trHeight w:val="360"/>
        </w:trPr>
        <w:tc>
          <w:tcPr>
            <w:tcW w:w="6282" w:type="dxa"/>
            <w:vMerge w:val="restart"/>
            <w:tcBorders>
              <w:top w:val="nil"/>
              <w:left w:val="nil"/>
              <w:bottom w:val="nil"/>
              <w:right w:val="single" w:sz="4" w:space="0" w:color="auto"/>
            </w:tcBorders>
            <w:shd w:val="clear" w:color="000000" w:fill="FFFFFF"/>
            <w:vAlign w:val="center"/>
            <w:hideMark/>
          </w:tcPr>
          <w:p w14:paraId="74B439F9"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Not coresident in 1974 x I(Year ≥ 1974)</w:t>
            </w:r>
          </w:p>
        </w:tc>
        <w:tc>
          <w:tcPr>
            <w:tcW w:w="1344" w:type="dxa"/>
            <w:tcBorders>
              <w:top w:val="nil"/>
              <w:left w:val="nil"/>
              <w:bottom w:val="nil"/>
              <w:right w:val="nil"/>
            </w:tcBorders>
            <w:shd w:val="clear" w:color="000000" w:fill="FFFFFF"/>
            <w:noWrap/>
            <w:vAlign w:val="bottom"/>
            <w:hideMark/>
          </w:tcPr>
          <w:p w14:paraId="41210AAE"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                 -</w:t>
            </w:r>
          </w:p>
        </w:tc>
        <w:tc>
          <w:tcPr>
            <w:tcW w:w="254" w:type="dxa"/>
            <w:tcBorders>
              <w:top w:val="nil"/>
              <w:left w:val="nil"/>
              <w:bottom w:val="nil"/>
              <w:right w:val="single" w:sz="4" w:space="0" w:color="auto"/>
            </w:tcBorders>
            <w:shd w:val="clear" w:color="000000" w:fill="FFFFFF"/>
            <w:noWrap/>
            <w:vAlign w:val="center"/>
            <w:hideMark/>
          </w:tcPr>
          <w:p w14:paraId="2BA38D8E"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vertAlign w:val="superscript"/>
              </w:rPr>
              <w:t> </w:t>
            </w:r>
          </w:p>
        </w:tc>
        <w:tc>
          <w:tcPr>
            <w:tcW w:w="940" w:type="dxa"/>
            <w:tcBorders>
              <w:top w:val="nil"/>
              <w:left w:val="nil"/>
              <w:bottom w:val="nil"/>
              <w:right w:val="nil"/>
            </w:tcBorders>
            <w:shd w:val="clear" w:color="000000" w:fill="FFFFFF"/>
            <w:noWrap/>
            <w:vAlign w:val="bottom"/>
            <w:hideMark/>
          </w:tcPr>
          <w:p w14:paraId="3C7A39FB"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11.698</w:t>
            </w:r>
          </w:p>
        </w:tc>
        <w:tc>
          <w:tcPr>
            <w:tcW w:w="940" w:type="dxa"/>
            <w:tcBorders>
              <w:top w:val="nil"/>
              <w:left w:val="nil"/>
              <w:bottom w:val="nil"/>
              <w:right w:val="nil"/>
            </w:tcBorders>
            <w:shd w:val="clear" w:color="000000" w:fill="FFFFFF"/>
            <w:noWrap/>
            <w:vAlign w:val="bottom"/>
            <w:hideMark/>
          </w:tcPr>
          <w:p w14:paraId="380F3145"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210DEC84" w14:textId="77777777" w:rsidTr="0073710F">
        <w:trPr>
          <w:trHeight w:val="360"/>
        </w:trPr>
        <w:tc>
          <w:tcPr>
            <w:tcW w:w="6282" w:type="dxa"/>
            <w:vMerge/>
            <w:tcBorders>
              <w:top w:val="nil"/>
              <w:left w:val="nil"/>
              <w:bottom w:val="nil"/>
              <w:right w:val="single" w:sz="4" w:space="0" w:color="auto"/>
            </w:tcBorders>
            <w:vAlign w:val="center"/>
            <w:hideMark/>
          </w:tcPr>
          <w:p w14:paraId="2AF97FEF"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1344" w:type="dxa"/>
            <w:tcBorders>
              <w:top w:val="nil"/>
              <w:left w:val="nil"/>
              <w:bottom w:val="nil"/>
              <w:right w:val="nil"/>
            </w:tcBorders>
            <w:shd w:val="clear" w:color="000000" w:fill="FFFFFF"/>
            <w:noWrap/>
            <w:vAlign w:val="bottom"/>
            <w:hideMark/>
          </w:tcPr>
          <w:p w14:paraId="40ADB5E9"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c>
          <w:tcPr>
            <w:tcW w:w="254" w:type="dxa"/>
            <w:tcBorders>
              <w:top w:val="nil"/>
              <w:left w:val="nil"/>
              <w:bottom w:val="nil"/>
              <w:right w:val="single" w:sz="4" w:space="0" w:color="auto"/>
            </w:tcBorders>
            <w:shd w:val="clear" w:color="000000" w:fill="FFFFFF"/>
            <w:noWrap/>
            <w:vAlign w:val="center"/>
            <w:hideMark/>
          </w:tcPr>
          <w:p w14:paraId="63288D6D"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vertAlign w:val="superscript"/>
              </w:rPr>
              <w:t> </w:t>
            </w:r>
          </w:p>
        </w:tc>
        <w:tc>
          <w:tcPr>
            <w:tcW w:w="940" w:type="dxa"/>
            <w:tcBorders>
              <w:top w:val="nil"/>
              <w:left w:val="nil"/>
              <w:bottom w:val="nil"/>
              <w:right w:val="nil"/>
            </w:tcBorders>
            <w:shd w:val="clear" w:color="000000" w:fill="FFFFFF"/>
            <w:noWrap/>
            <w:vAlign w:val="bottom"/>
            <w:hideMark/>
          </w:tcPr>
          <w:p w14:paraId="25C66A03"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(0.672)</w:t>
            </w:r>
          </w:p>
        </w:tc>
        <w:tc>
          <w:tcPr>
            <w:tcW w:w="940" w:type="dxa"/>
            <w:tcBorders>
              <w:top w:val="nil"/>
              <w:left w:val="nil"/>
              <w:bottom w:val="nil"/>
              <w:right w:val="nil"/>
            </w:tcBorders>
            <w:shd w:val="clear" w:color="000000" w:fill="FFFFFF"/>
            <w:noWrap/>
            <w:vAlign w:val="center"/>
            <w:hideMark/>
          </w:tcPr>
          <w:p w14:paraId="47DDBFA5"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767FCC9D" w14:textId="77777777" w:rsidTr="0073710F">
        <w:trPr>
          <w:trHeight w:val="360"/>
        </w:trPr>
        <w:tc>
          <w:tcPr>
            <w:tcW w:w="6282" w:type="dxa"/>
            <w:vMerge w:val="restart"/>
            <w:tcBorders>
              <w:top w:val="nil"/>
              <w:left w:val="nil"/>
              <w:bottom w:val="single" w:sz="4" w:space="0" w:color="000000"/>
              <w:right w:val="single" w:sz="4" w:space="0" w:color="auto"/>
            </w:tcBorders>
            <w:shd w:val="clear" w:color="000000" w:fill="FFFFFF"/>
            <w:vAlign w:val="center"/>
            <w:hideMark/>
          </w:tcPr>
          <w:p w14:paraId="2E375A0C"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Not coresident in 1974 x I(Year ≥ 1974)  × Originally Female College</w:t>
            </w:r>
          </w:p>
        </w:tc>
        <w:tc>
          <w:tcPr>
            <w:tcW w:w="1344" w:type="dxa"/>
            <w:tcBorders>
              <w:top w:val="nil"/>
              <w:left w:val="nil"/>
              <w:bottom w:val="nil"/>
              <w:right w:val="nil"/>
            </w:tcBorders>
            <w:shd w:val="clear" w:color="000000" w:fill="FFFFFF"/>
            <w:noWrap/>
            <w:vAlign w:val="bottom"/>
            <w:hideMark/>
          </w:tcPr>
          <w:p w14:paraId="1C864CE3"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                  -</w:t>
            </w:r>
          </w:p>
        </w:tc>
        <w:tc>
          <w:tcPr>
            <w:tcW w:w="254" w:type="dxa"/>
            <w:tcBorders>
              <w:top w:val="nil"/>
              <w:left w:val="nil"/>
              <w:bottom w:val="nil"/>
              <w:right w:val="single" w:sz="4" w:space="0" w:color="auto"/>
            </w:tcBorders>
            <w:shd w:val="clear" w:color="000000" w:fill="FFFFFF"/>
            <w:noWrap/>
            <w:vAlign w:val="center"/>
            <w:hideMark/>
          </w:tcPr>
          <w:p w14:paraId="674061BA"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vertAlign w:val="superscript"/>
              </w:rPr>
              <w:t> </w:t>
            </w:r>
          </w:p>
        </w:tc>
        <w:tc>
          <w:tcPr>
            <w:tcW w:w="940" w:type="dxa"/>
            <w:tcBorders>
              <w:top w:val="nil"/>
              <w:left w:val="nil"/>
              <w:bottom w:val="nil"/>
              <w:right w:val="nil"/>
            </w:tcBorders>
            <w:shd w:val="clear" w:color="000000" w:fill="FFFFFF"/>
            <w:noWrap/>
            <w:vAlign w:val="bottom"/>
            <w:hideMark/>
          </w:tcPr>
          <w:p w14:paraId="2BF1FE6E"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-35.172</w:t>
            </w:r>
          </w:p>
        </w:tc>
        <w:tc>
          <w:tcPr>
            <w:tcW w:w="940" w:type="dxa"/>
            <w:tcBorders>
              <w:top w:val="nil"/>
              <w:left w:val="nil"/>
              <w:bottom w:val="nil"/>
              <w:right w:val="nil"/>
            </w:tcBorders>
            <w:shd w:val="clear" w:color="000000" w:fill="FFFFFF"/>
            <w:noWrap/>
            <w:vAlign w:val="bottom"/>
            <w:hideMark/>
          </w:tcPr>
          <w:p w14:paraId="7DBA7DFA"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w:t>
            </w:r>
          </w:p>
        </w:tc>
      </w:tr>
      <w:tr w:rsidR="0073710F" w:rsidRPr="0073710F" w14:paraId="2CA20BFB" w14:textId="77777777" w:rsidTr="0073710F">
        <w:trPr>
          <w:trHeight w:val="360"/>
        </w:trPr>
        <w:tc>
          <w:tcPr>
            <w:tcW w:w="6282" w:type="dxa"/>
            <w:vMerge/>
            <w:tcBorders>
              <w:top w:val="nil"/>
              <w:left w:val="nil"/>
              <w:bottom w:val="single" w:sz="4" w:space="0" w:color="000000"/>
              <w:right w:val="single" w:sz="4" w:space="0" w:color="auto"/>
            </w:tcBorders>
            <w:vAlign w:val="center"/>
            <w:hideMark/>
          </w:tcPr>
          <w:p w14:paraId="1FD99959" w14:textId="77777777" w:rsidR="0073710F" w:rsidRPr="0073710F" w:rsidRDefault="0073710F" w:rsidP="0073710F">
            <w:pPr>
              <w:spacing w:after="0" w:line="240" w:lineRule="auto"/>
              <w:rPr>
                <w:rFonts w:ascii="Times New Roman" w:eastAsia="Times New Roman" w:hAnsi="Times New Roman" w:cs="Times New Roman"/>
                <w:sz w:val="24"/>
                <w:szCs w:val="24"/>
              </w:rPr>
            </w:pPr>
          </w:p>
        </w:tc>
        <w:tc>
          <w:tcPr>
            <w:tcW w:w="1344" w:type="dxa"/>
            <w:tcBorders>
              <w:top w:val="nil"/>
              <w:left w:val="nil"/>
              <w:bottom w:val="single" w:sz="4" w:space="0" w:color="auto"/>
              <w:right w:val="nil"/>
            </w:tcBorders>
            <w:shd w:val="clear" w:color="000000" w:fill="FFFFFF"/>
            <w:noWrap/>
            <w:vAlign w:val="bottom"/>
            <w:hideMark/>
          </w:tcPr>
          <w:p w14:paraId="79DCBDFA"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w:t>
            </w:r>
          </w:p>
        </w:tc>
        <w:tc>
          <w:tcPr>
            <w:tcW w:w="254" w:type="dxa"/>
            <w:tcBorders>
              <w:top w:val="nil"/>
              <w:left w:val="nil"/>
              <w:bottom w:val="single" w:sz="4" w:space="0" w:color="auto"/>
              <w:right w:val="single" w:sz="4" w:space="0" w:color="auto"/>
            </w:tcBorders>
            <w:shd w:val="clear" w:color="000000" w:fill="FFFFFF"/>
            <w:noWrap/>
            <w:vAlign w:val="center"/>
            <w:hideMark/>
          </w:tcPr>
          <w:p w14:paraId="24710713"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vertAlign w:val="superscript"/>
              </w:rPr>
              <w:t> </w:t>
            </w:r>
          </w:p>
        </w:tc>
        <w:tc>
          <w:tcPr>
            <w:tcW w:w="940" w:type="dxa"/>
            <w:tcBorders>
              <w:top w:val="nil"/>
              <w:left w:val="nil"/>
              <w:bottom w:val="single" w:sz="4" w:space="0" w:color="auto"/>
              <w:right w:val="nil"/>
            </w:tcBorders>
            <w:shd w:val="clear" w:color="000000" w:fill="FFFFFF"/>
            <w:noWrap/>
            <w:vAlign w:val="bottom"/>
            <w:hideMark/>
          </w:tcPr>
          <w:p w14:paraId="1F292312" w14:textId="77777777" w:rsidR="0073710F" w:rsidRPr="0073710F" w:rsidRDefault="0073710F" w:rsidP="0073710F">
            <w:pPr>
              <w:spacing w:after="0" w:line="240" w:lineRule="auto"/>
              <w:jc w:val="right"/>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(0.901)</w:t>
            </w:r>
          </w:p>
        </w:tc>
        <w:tc>
          <w:tcPr>
            <w:tcW w:w="940" w:type="dxa"/>
            <w:tcBorders>
              <w:top w:val="nil"/>
              <w:left w:val="nil"/>
              <w:bottom w:val="single" w:sz="4" w:space="0" w:color="auto"/>
              <w:right w:val="nil"/>
            </w:tcBorders>
            <w:shd w:val="clear" w:color="000000" w:fill="FFFFFF"/>
            <w:noWrap/>
            <w:vAlign w:val="center"/>
            <w:hideMark/>
          </w:tcPr>
          <w:p w14:paraId="083321BD" w14:textId="77777777" w:rsidR="0073710F" w:rsidRPr="0073710F" w:rsidRDefault="0073710F" w:rsidP="0073710F">
            <w:pPr>
              <w:spacing w:after="0" w:line="240" w:lineRule="auto"/>
              <w:rPr>
                <w:rFonts w:ascii="Times New Roman" w:eastAsia="Times New Roman" w:hAnsi="Times New Roman" w:cs="Times New Roman"/>
                <w:sz w:val="20"/>
                <w:szCs w:val="20"/>
              </w:rPr>
            </w:pPr>
            <w:r w:rsidRPr="0073710F">
              <w:rPr>
                <w:rFonts w:ascii="Times New Roman" w:eastAsia="Times New Roman" w:hAnsi="Times New Roman" w:cs="Times New Roman"/>
                <w:sz w:val="20"/>
                <w:szCs w:val="20"/>
                <w:vertAlign w:val="superscript"/>
              </w:rPr>
              <w:t> </w:t>
            </w:r>
          </w:p>
        </w:tc>
      </w:tr>
      <w:tr w:rsidR="0073710F" w:rsidRPr="0073710F" w14:paraId="0BDF38D1" w14:textId="77777777" w:rsidTr="0073710F">
        <w:trPr>
          <w:trHeight w:val="340"/>
        </w:trPr>
        <w:tc>
          <w:tcPr>
            <w:tcW w:w="6282" w:type="dxa"/>
            <w:tcBorders>
              <w:top w:val="nil"/>
              <w:left w:val="nil"/>
              <w:bottom w:val="double" w:sz="6" w:space="0" w:color="auto"/>
              <w:right w:val="single" w:sz="4" w:space="0" w:color="auto"/>
            </w:tcBorders>
            <w:shd w:val="clear" w:color="auto" w:fill="auto"/>
            <w:noWrap/>
            <w:vAlign w:val="center"/>
            <w:hideMark/>
          </w:tcPr>
          <w:p w14:paraId="5FB25820" w14:textId="77777777" w:rsidR="0073710F" w:rsidRPr="0073710F" w:rsidRDefault="0073710F" w:rsidP="0073710F">
            <w:pPr>
              <w:spacing w:after="0" w:line="240" w:lineRule="auto"/>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pseudo R-squared</w:t>
            </w:r>
          </w:p>
        </w:tc>
        <w:tc>
          <w:tcPr>
            <w:tcW w:w="1598" w:type="dxa"/>
            <w:gridSpan w:val="2"/>
            <w:tcBorders>
              <w:top w:val="single" w:sz="4" w:space="0" w:color="auto"/>
              <w:left w:val="nil"/>
              <w:bottom w:val="double" w:sz="6" w:space="0" w:color="auto"/>
              <w:right w:val="nil"/>
            </w:tcBorders>
            <w:shd w:val="clear" w:color="000000" w:fill="FFFFFF"/>
            <w:vAlign w:val="bottom"/>
            <w:hideMark/>
          </w:tcPr>
          <w:p w14:paraId="57EBA974"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0.3697 </w:t>
            </w:r>
          </w:p>
        </w:tc>
        <w:tc>
          <w:tcPr>
            <w:tcW w:w="1880" w:type="dxa"/>
            <w:gridSpan w:val="2"/>
            <w:tcBorders>
              <w:top w:val="single" w:sz="4" w:space="0" w:color="auto"/>
              <w:left w:val="single" w:sz="4" w:space="0" w:color="auto"/>
              <w:bottom w:val="double" w:sz="6" w:space="0" w:color="auto"/>
              <w:right w:val="nil"/>
            </w:tcBorders>
            <w:shd w:val="clear" w:color="000000" w:fill="FFFFFF"/>
            <w:vAlign w:val="bottom"/>
            <w:hideMark/>
          </w:tcPr>
          <w:p w14:paraId="06D09B37" w14:textId="77777777" w:rsidR="0073710F" w:rsidRPr="0073710F" w:rsidRDefault="0073710F" w:rsidP="0073710F">
            <w:pPr>
              <w:spacing w:after="0" w:line="240" w:lineRule="auto"/>
              <w:jc w:val="center"/>
              <w:rPr>
                <w:rFonts w:ascii="Times New Roman" w:eastAsia="Times New Roman" w:hAnsi="Times New Roman" w:cs="Times New Roman"/>
                <w:sz w:val="24"/>
                <w:szCs w:val="24"/>
              </w:rPr>
            </w:pPr>
            <w:r w:rsidRPr="0073710F">
              <w:rPr>
                <w:rFonts w:ascii="Times New Roman" w:eastAsia="Times New Roman" w:hAnsi="Times New Roman" w:cs="Times New Roman"/>
                <w:sz w:val="24"/>
                <w:szCs w:val="24"/>
              </w:rPr>
              <w:t xml:space="preserve">0.3711 </w:t>
            </w:r>
          </w:p>
        </w:tc>
      </w:tr>
      <w:tr w:rsidR="0073710F" w:rsidRPr="0073710F" w14:paraId="6AF158E3" w14:textId="77777777" w:rsidTr="0073710F">
        <w:trPr>
          <w:trHeight w:val="340"/>
        </w:trPr>
        <w:tc>
          <w:tcPr>
            <w:tcW w:w="9760" w:type="dxa"/>
            <w:gridSpan w:val="5"/>
            <w:vMerge w:val="restart"/>
            <w:tcBorders>
              <w:top w:val="double" w:sz="6" w:space="0" w:color="auto"/>
              <w:left w:val="nil"/>
              <w:bottom w:val="nil"/>
              <w:right w:val="nil"/>
            </w:tcBorders>
            <w:shd w:val="clear" w:color="auto" w:fill="auto"/>
            <w:vAlign w:val="bottom"/>
            <w:hideMark/>
          </w:tcPr>
          <w:p w14:paraId="0D93675F" w14:textId="77777777" w:rsidR="0073710F" w:rsidRPr="0073710F" w:rsidRDefault="0073710F" w:rsidP="0073710F">
            <w:pPr>
              <w:spacing w:after="0" w:line="240" w:lineRule="auto"/>
              <w:rPr>
                <w:rFonts w:ascii="Calibri" w:eastAsia="Times New Roman" w:hAnsi="Calibri" w:cs="Times New Roman"/>
                <w:color w:val="000000"/>
              </w:rPr>
            </w:pPr>
            <w:r w:rsidRPr="0073710F">
              <w:rPr>
                <w:rFonts w:ascii="Calibri" w:eastAsia="Times New Roman" w:hAnsi="Calibri" w:cs="Times New Roman"/>
                <w:color w:val="000000"/>
              </w:rPr>
              <w:t>Notes:  Estimations also include year and college fixed effects. Robust standard errors are presented in parentheses. One, two and three asterisks indicate statistical significance at the 10%, 5%, and 1% levels, respectively.</w:t>
            </w:r>
          </w:p>
        </w:tc>
      </w:tr>
      <w:tr w:rsidR="0073710F" w:rsidRPr="0073710F" w14:paraId="419131BB" w14:textId="77777777" w:rsidTr="0073710F">
        <w:trPr>
          <w:trHeight w:val="450"/>
        </w:trPr>
        <w:tc>
          <w:tcPr>
            <w:tcW w:w="9760" w:type="dxa"/>
            <w:gridSpan w:val="5"/>
            <w:vMerge/>
            <w:tcBorders>
              <w:top w:val="double" w:sz="6" w:space="0" w:color="auto"/>
              <w:left w:val="nil"/>
              <w:bottom w:val="nil"/>
              <w:right w:val="nil"/>
            </w:tcBorders>
            <w:vAlign w:val="center"/>
            <w:hideMark/>
          </w:tcPr>
          <w:p w14:paraId="47EBF134" w14:textId="77777777" w:rsidR="0073710F" w:rsidRPr="0073710F" w:rsidRDefault="0073710F" w:rsidP="0073710F">
            <w:pPr>
              <w:spacing w:after="0" w:line="240" w:lineRule="auto"/>
              <w:rPr>
                <w:rFonts w:ascii="Calibri" w:eastAsia="Times New Roman" w:hAnsi="Calibri" w:cs="Times New Roman"/>
                <w:color w:val="000000"/>
              </w:rPr>
            </w:pPr>
          </w:p>
        </w:tc>
      </w:tr>
      <w:tr w:rsidR="0073710F" w:rsidRPr="0073710F" w14:paraId="4410A7B3" w14:textId="77777777" w:rsidTr="0073710F">
        <w:trPr>
          <w:trHeight w:val="450"/>
        </w:trPr>
        <w:tc>
          <w:tcPr>
            <w:tcW w:w="9760" w:type="dxa"/>
            <w:gridSpan w:val="5"/>
            <w:vMerge/>
            <w:tcBorders>
              <w:top w:val="double" w:sz="6" w:space="0" w:color="auto"/>
              <w:left w:val="nil"/>
              <w:bottom w:val="nil"/>
              <w:right w:val="nil"/>
            </w:tcBorders>
            <w:vAlign w:val="center"/>
            <w:hideMark/>
          </w:tcPr>
          <w:p w14:paraId="7A2DA49A" w14:textId="77777777" w:rsidR="0073710F" w:rsidRPr="0073710F" w:rsidRDefault="0073710F" w:rsidP="0073710F">
            <w:pPr>
              <w:spacing w:after="0" w:line="240" w:lineRule="auto"/>
              <w:rPr>
                <w:rFonts w:ascii="Calibri" w:eastAsia="Times New Roman" w:hAnsi="Calibri" w:cs="Times New Roman"/>
                <w:color w:val="000000"/>
              </w:rPr>
            </w:pPr>
          </w:p>
        </w:tc>
      </w:tr>
    </w:tbl>
    <w:p w14:paraId="4DFE4C54" w14:textId="77777777" w:rsidR="00312C08" w:rsidRPr="00312C08" w:rsidRDefault="00312C08" w:rsidP="00F425A6">
      <w:pPr>
        <w:spacing w:after="0" w:line="240" w:lineRule="auto"/>
        <w:rPr>
          <w:b/>
        </w:rPr>
      </w:pPr>
    </w:p>
    <w:sectPr w:rsidR="00312C08" w:rsidRPr="00312C0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75FE" w14:textId="77777777" w:rsidR="00B74492" w:rsidRDefault="00B74492" w:rsidP="00F07D00">
      <w:pPr>
        <w:spacing w:after="0" w:line="240" w:lineRule="auto"/>
      </w:pPr>
      <w:r>
        <w:separator/>
      </w:r>
    </w:p>
  </w:endnote>
  <w:endnote w:type="continuationSeparator" w:id="0">
    <w:p w14:paraId="628254F5" w14:textId="77777777" w:rsidR="00B74492" w:rsidRDefault="00B74492" w:rsidP="00F0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196016"/>
      <w:docPartObj>
        <w:docPartGallery w:val="Page Numbers (Bottom of Page)"/>
        <w:docPartUnique/>
      </w:docPartObj>
    </w:sdtPr>
    <w:sdtEndPr>
      <w:rPr>
        <w:noProof/>
      </w:rPr>
    </w:sdtEndPr>
    <w:sdtContent>
      <w:p w14:paraId="37875223" w14:textId="77777777" w:rsidR="00BE1064" w:rsidRDefault="00BE1064">
        <w:pPr>
          <w:pStyle w:val="Footer"/>
          <w:jc w:val="right"/>
        </w:pPr>
        <w:r>
          <w:fldChar w:fldCharType="begin"/>
        </w:r>
        <w:r>
          <w:instrText xml:space="preserve"> PAGE   \* MERGEFORMAT </w:instrText>
        </w:r>
        <w:r>
          <w:fldChar w:fldCharType="separate"/>
        </w:r>
        <w:r w:rsidR="006D01C3">
          <w:rPr>
            <w:noProof/>
          </w:rPr>
          <w:t>2</w:t>
        </w:r>
        <w:r>
          <w:rPr>
            <w:noProof/>
          </w:rPr>
          <w:fldChar w:fldCharType="end"/>
        </w:r>
      </w:p>
    </w:sdtContent>
  </w:sdt>
  <w:p w14:paraId="5D66E6AC" w14:textId="77777777" w:rsidR="00BE1064" w:rsidRDefault="00BE1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C8DF0" w14:textId="77777777" w:rsidR="00B74492" w:rsidRDefault="00B74492" w:rsidP="00F07D00">
      <w:pPr>
        <w:spacing w:after="0" w:line="240" w:lineRule="auto"/>
      </w:pPr>
      <w:r>
        <w:separator/>
      </w:r>
    </w:p>
  </w:footnote>
  <w:footnote w:type="continuationSeparator" w:id="0">
    <w:p w14:paraId="473FA16F" w14:textId="77777777" w:rsidR="00B74492" w:rsidRDefault="00B74492" w:rsidP="00F07D00">
      <w:pPr>
        <w:spacing w:after="0" w:line="240" w:lineRule="auto"/>
      </w:pPr>
      <w:r>
        <w:continuationSeparator/>
      </w:r>
    </w:p>
  </w:footnote>
  <w:footnote w:id="1">
    <w:p w14:paraId="68A8BBD3" w14:textId="516A7D36" w:rsidR="00BE1064" w:rsidRDefault="00BE1064" w:rsidP="00173C5C">
      <w:pPr>
        <w:pStyle w:val="FootnoteText"/>
      </w:pPr>
      <w:r>
        <w:rPr>
          <w:rStyle w:val="FootnoteReference"/>
        </w:rPr>
        <w:footnoteRef/>
      </w:r>
      <w:r>
        <w:t xml:space="preserve"> Lord Franks was chairman of a major university commission tasked to report on questions about the size and shape of the University.</w:t>
      </w:r>
    </w:p>
  </w:footnote>
  <w:footnote w:id="2">
    <w:p w14:paraId="2C3A6E9C" w14:textId="77777777" w:rsidR="00BE1064" w:rsidRDefault="00BE1064">
      <w:pPr>
        <w:pStyle w:val="FootnoteText"/>
      </w:pPr>
      <w:r>
        <w:rPr>
          <w:rStyle w:val="FootnoteReference"/>
        </w:rPr>
        <w:footnoteRef/>
      </w:r>
      <w:r>
        <w:t xml:space="preserve"> Oxford’s Limitation Statute stated that the number of women could not exceed 840 or one-sixth of the student body (Dyhouse 2003:171).</w:t>
      </w:r>
    </w:p>
  </w:footnote>
  <w:footnote w:id="3">
    <w:p w14:paraId="58B23228" w14:textId="471B818A" w:rsidR="00BE1064" w:rsidRDefault="00BE1064">
      <w:pPr>
        <w:pStyle w:val="FootnoteText"/>
      </w:pPr>
      <w:r>
        <w:rPr>
          <w:rStyle w:val="FootnoteReference"/>
        </w:rPr>
        <w:footnoteRef/>
      </w:r>
      <w:r>
        <w:t xml:space="preserve"> The responsibilities of Proctors included seeing that the statutes and regulations of the university were observed, dealing with aspects of discipline, handling complaints about university matters, and proper conduct of university examinations.</w:t>
      </w:r>
    </w:p>
  </w:footnote>
  <w:footnote w:id="4">
    <w:p w14:paraId="473B206B" w14:textId="5EF9BFC8" w:rsidR="00BE1064" w:rsidRDefault="00BE1064">
      <w:pPr>
        <w:pStyle w:val="FootnoteText"/>
      </w:pPr>
      <w:r>
        <w:rPr>
          <w:rStyle w:val="FootnoteReference"/>
        </w:rPr>
        <w:footnoteRef/>
      </w:r>
      <w:r>
        <w:t xml:space="preserve"> The terms “coeducation” and “coresidence” were often used interchangeably.  As Brian Harrison pointed out to us, at a collegiate university such as Oxford the two are distinct.  Without coresidence the opportunities for co-education were quite limited unless a student was sent to an outside tutor and had a two person tutorial with a member of the opposite sex. We use the term “coresidence” because the debate was about men and women living and being educated together in the colleges. </w:t>
      </w:r>
    </w:p>
  </w:footnote>
  <w:footnote w:id="5">
    <w:p w14:paraId="42577453" w14:textId="5064D12D" w:rsidR="00BE1064" w:rsidRDefault="00BE1064">
      <w:pPr>
        <w:pStyle w:val="FootnoteText"/>
      </w:pPr>
      <w:r>
        <w:rPr>
          <w:rStyle w:val="FootnoteReference"/>
        </w:rPr>
        <w:footnoteRef/>
      </w:r>
      <w:r>
        <w:t xml:space="preserve"> The Norrington Table, first published in 1964, is a ranking of Oxford colleges by final examination results.  In the original Norrington Table a First Class degree scored three points, a Second Class degree two points, and a Third Class degree one point.  From 1986 onwards a First was worth five points, Second Class Division I worth three points, Second Class Division II two points, and a Third Class degree one point.  While Oxford aimed to increase average quality by replacing lower caliber men with higher caliber women in the men’s colleges, at the University of London the argument for increasing quality through coresidence was to admit men to the women’s colleges (Dyhouse 2003:171).</w:t>
      </w:r>
    </w:p>
  </w:footnote>
  <w:footnote w:id="6">
    <w:p w14:paraId="30166A9F" w14:textId="23CD63B7" w:rsidR="00BE1064" w:rsidRDefault="00BE1064">
      <w:pPr>
        <w:pStyle w:val="FootnoteText"/>
      </w:pPr>
      <w:r>
        <w:rPr>
          <w:rStyle w:val="FootnoteReference"/>
        </w:rPr>
        <w:footnoteRef/>
      </w:r>
      <w:r>
        <w:t xml:space="preserve"> Other benefits of coresidence for the men’s colleges were: it would ‘civilize’ the men; reflect more truthfully the broader society; make life easier for the lonely or shy of either sex; and be more “natural” (Stockton 1972:4).  </w:t>
      </w:r>
    </w:p>
  </w:footnote>
  <w:footnote w:id="7">
    <w:p w14:paraId="670520C3" w14:textId="0EAA06EE" w:rsidR="00BE1064" w:rsidRDefault="00BE1064">
      <w:pPr>
        <w:pStyle w:val="FootnoteText"/>
      </w:pPr>
      <w:r>
        <w:rPr>
          <w:rStyle w:val="FootnoteReference"/>
        </w:rPr>
        <w:footnoteRef/>
      </w:r>
      <w:r>
        <w:t xml:space="preserve"> The situation was different at Cambridge where coresidence preceded that at Oxford.  “Despite some anxieties”, Newnham and Girton did not oppose the men’s colleges in admitting women (Howarth 1994a:374).  See Malkiel (2016) for an excellent discussion of the debates over coresidence at Oxford and Cambridge and also coeducation at elite colleges and universities in the US.</w:t>
      </w:r>
    </w:p>
  </w:footnote>
  <w:footnote w:id="8">
    <w:p w14:paraId="4AC6D239" w14:textId="67B280E1" w:rsidR="00BE1064" w:rsidRDefault="00BE1064" w:rsidP="00D83CA9">
      <w:pPr>
        <w:pStyle w:val="FootnoteText"/>
      </w:pPr>
      <w:r>
        <w:rPr>
          <w:rStyle w:val="FootnoteReference"/>
        </w:rPr>
        <w:footnoteRef/>
      </w:r>
      <w:r>
        <w:t xml:space="preserve"> Coresidence was also a highly contentious issue at the University of London in the 1950s and at Cambridge, U.K. In Cambridge, U.S., at Harvard coresidence was raising temperatures: Skiddy von Stade, dean of freshmen, wrote “I do not see highly educated women making startling strides in contributing to our society in the foreseeable future.  They are not, in my opinion, going to stop getting married and/or having children. They will fail in their present role as women if they do”, cited in Hicks (2004).  As at Oxford, such views did not carry the day.</w:t>
      </w:r>
    </w:p>
  </w:footnote>
  <w:footnote w:id="9">
    <w:p w14:paraId="487BB870" w14:textId="0E9D1088" w:rsidR="00BE1064" w:rsidRDefault="00BE1064">
      <w:pPr>
        <w:pStyle w:val="FootnoteText"/>
      </w:pPr>
      <w:r>
        <w:rPr>
          <w:rStyle w:val="FootnoteReference"/>
        </w:rPr>
        <w:footnoteRef/>
      </w:r>
      <w:r>
        <w:t xml:space="preserve"> Stockton (1972) and the Robbins Report presented similar calculations.</w:t>
      </w:r>
    </w:p>
  </w:footnote>
  <w:footnote w:id="10">
    <w:p w14:paraId="61908E5D" w14:textId="7959BBE2" w:rsidR="00BE1064" w:rsidRDefault="00BE1064">
      <w:pPr>
        <w:pStyle w:val="FootnoteText"/>
      </w:pPr>
      <w:r>
        <w:rPr>
          <w:rStyle w:val="FootnoteReference"/>
        </w:rPr>
        <w:footnoteRef/>
      </w:r>
      <w:r>
        <w:t xml:space="preserve"> The year before, Balliol became the first male college to elect a woman as a fellow and tutor.  The admission of 100 female students did not meet with universal approval.  Margaret Warnock, a philosophy fellow of St Hugh’s from 1949 to 1966, remarked “to admit 100 women between five men’s colleges is, precisely, to treat women as a special class of underprivileged persons” (Warnock 1972:5).  Warnock was no stranger to exception: in 1956 she became the first married fellow of St. Hugh’s.</w:t>
      </w:r>
    </w:p>
  </w:footnote>
  <w:footnote w:id="11">
    <w:p w14:paraId="01B25F1B" w14:textId="77777777" w:rsidR="00BE1064" w:rsidRDefault="00BE1064">
      <w:pPr>
        <w:pStyle w:val="FootnoteText"/>
      </w:pPr>
      <w:r>
        <w:rPr>
          <w:rStyle w:val="FootnoteReference"/>
        </w:rPr>
        <w:footnoteRef/>
      </w:r>
      <w:r>
        <w:t xml:space="preserve"> The fact that women outperformed men in university exams at that time suggested that there might be more high caliber women who could be recruited to Oxford (Hicks 2004:245).</w:t>
      </w:r>
    </w:p>
  </w:footnote>
  <w:footnote w:id="12">
    <w:p w14:paraId="32F72FB4" w14:textId="77777777" w:rsidR="00BE1064" w:rsidRDefault="00BE1064">
      <w:pPr>
        <w:pStyle w:val="FootnoteText"/>
      </w:pPr>
      <w:r>
        <w:rPr>
          <w:rStyle w:val="FootnoteReference"/>
        </w:rPr>
        <w:footnoteRef/>
      </w:r>
      <w:r>
        <w:t xml:space="preserve"> These views are similar to those expressed in the 1940s by the heads of some of the women’s colleges.  For example, Lynda Grier, Principal of LMH, maintained “that even the stupid men she taught had more ’mental audacity’ than women” and Margery Fry, Principal of Somerville, confessed to a fear that the expansion in size of the women’s colleges may lead to “over femininity” (Dyhouse 2003:175, 176).</w:t>
      </w:r>
    </w:p>
  </w:footnote>
  <w:footnote w:id="13">
    <w:p w14:paraId="22D81FAF" w14:textId="77777777" w:rsidR="00BE1064" w:rsidRDefault="00BE1064" w:rsidP="00DD0B5A">
      <w:pPr>
        <w:pStyle w:val="FootnoteText"/>
      </w:pPr>
      <w:r>
        <w:rPr>
          <w:rStyle w:val="FootnoteReference"/>
        </w:rPr>
        <w:footnoteRef/>
      </w:r>
      <w:r>
        <w:t xml:space="preserve"> A writer in the Spectator (2014) suggested another motivation for women to seek admission to a men’s college: “Bright ambitious women didn’t want people to think they’d only got into Oxford because of positive discrimination”, that is, because some people believed women’s colleges had lower entry standards.</w:t>
      </w:r>
    </w:p>
  </w:footnote>
  <w:footnote w:id="14">
    <w:p w14:paraId="646353BC" w14:textId="77777777" w:rsidR="006871BD" w:rsidRDefault="006871BD" w:rsidP="006871BD">
      <w:pPr>
        <w:pStyle w:val="FootnoteText"/>
      </w:pPr>
      <w:r>
        <w:rPr>
          <w:rStyle w:val="FootnoteReference"/>
        </w:rPr>
        <w:footnoteRef/>
      </w:r>
      <w:r>
        <w:t xml:space="preserve"> A total of 15 possible points is possible on the 3 best A-level passes where a grade of A, B, C, D and E on an exam is given 5, 4, 3, 2, and 1 point, respectively.</w:t>
      </w:r>
    </w:p>
  </w:footnote>
  <w:footnote w:id="15">
    <w:p w14:paraId="55098A83" w14:textId="7FAF27D2" w:rsidR="00BE1064" w:rsidRDefault="00BE1064" w:rsidP="001F149D">
      <w:pPr>
        <w:pStyle w:val="FootnoteText"/>
      </w:pPr>
      <w:r>
        <w:rPr>
          <w:rStyle w:val="FootnoteReference"/>
        </w:rPr>
        <w:footnoteRef/>
      </w:r>
      <w:r>
        <w:t xml:space="preserve"> Calculations by the authors based on data provided by Brian Harrison initially gathered by Daniel Greenstein for  Volume 8 of the Hist</w:t>
      </w:r>
      <w:r w:rsidR="006871BD">
        <w:t>ory of the University of Oxford (1994).</w:t>
      </w:r>
    </w:p>
  </w:footnote>
  <w:footnote w:id="16">
    <w:p w14:paraId="18D59393" w14:textId="73E8236F" w:rsidR="00BE1064" w:rsidRDefault="00BE1064">
      <w:pPr>
        <w:pStyle w:val="FootnoteText"/>
      </w:pPr>
      <w:r>
        <w:rPr>
          <w:rStyle w:val="FootnoteReference"/>
        </w:rPr>
        <w:footnoteRef/>
      </w:r>
      <w:r>
        <w:t xml:space="preserve"> These data were compiled from the Universi</w:t>
      </w:r>
      <w:r w:rsidR="006871BD">
        <w:t>ty Calendar for all years from 1</w:t>
      </w:r>
      <w:r>
        <w:t>969-70 to 2015-16.  The calendar lists all categories of fellows by name and college.  Identification of gender was aided by the inclusion of two or more first names, identifiers such as ‘Miss’ or ‘Mrs’.  In cases where gender was unclear we checked college websites and Google to identify gender.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D0B"/>
    <w:multiLevelType w:val="hybridMultilevel"/>
    <w:tmpl w:val="540259F2"/>
    <w:lvl w:ilvl="0" w:tplc="50344228">
      <w:start w:val="4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FD56AE"/>
    <w:multiLevelType w:val="hybridMultilevel"/>
    <w:tmpl w:val="5E8C7920"/>
    <w:lvl w:ilvl="0" w:tplc="D12C29BC">
      <w:start w:val="4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801B9"/>
    <w:multiLevelType w:val="hybridMultilevel"/>
    <w:tmpl w:val="1A1E4E18"/>
    <w:lvl w:ilvl="0" w:tplc="5CD61B42">
      <w:start w:val="4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D4122"/>
    <w:multiLevelType w:val="hybridMultilevel"/>
    <w:tmpl w:val="1B447E00"/>
    <w:lvl w:ilvl="0" w:tplc="B61E2216">
      <w:start w:val="4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9D"/>
    <w:rsid w:val="00000676"/>
    <w:rsid w:val="00004AF2"/>
    <w:rsid w:val="00010874"/>
    <w:rsid w:val="00014A23"/>
    <w:rsid w:val="000162B3"/>
    <w:rsid w:val="000254C5"/>
    <w:rsid w:val="000672D9"/>
    <w:rsid w:val="00071D77"/>
    <w:rsid w:val="00080598"/>
    <w:rsid w:val="00086D98"/>
    <w:rsid w:val="0008773E"/>
    <w:rsid w:val="00092644"/>
    <w:rsid w:val="000B279A"/>
    <w:rsid w:val="000B2E0A"/>
    <w:rsid w:val="000C5F9E"/>
    <w:rsid w:val="000D4EA1"/>
    <w:rsid w:val="000D5021"/>
    <w:rsid w:val="000D75AC"/>
    <w:rsid w:val="000E1E6C"/>
    <w:rsid w:val="000E2388"/>
    <w:rsid w:val="00100A6B"/>
    <w:rsid w:val="001049C9"/>
    <w:rsid w:val="00105202"/>
    <w:rsid w:val="00116124"/>
    <w:rsid w:val="0011722E"/>
    <w:rsid w:val="00134817"/>
    <w:rsid w:val="00150D2C"/>
    <w:rsid w:val="0015330C"/>
    <w:rsid w:val="00156288"/>
    <w:rsid w:val="00170869"/>
    <w:rsid w:val="00173C5C"/>
    <w:rsid w:val="00173D08"/>
    <w:rsid w:val="00182D64"/>
    <w:rsid w:val="00185A58"/>
    <w:rsid w:val="00192263"/>
    <w:rsid w:val="00192EA5"/>
    <w:rsid w:val="001C68B9"/>
    <w:rsid w:val="001C6A63"/>
    <w:rsid w:val="001E356A"/>
    <w:rsid w:val="001F149D"/>
    <w:rsid w:val="002053EF"/>
    <w:rsid w:val="00217E20"/>
    <w:rsid w:val="0022628D"/>
    <w:rsid w:val="0023615D"/>
    <w:rsid w:val="002401CD"/>
    <w:rsid w:val="0024078D"/>
    <w:rsid w:val="002530B4"/>
    <w:rsid w:val="002535BE"/>
    <w:rsid w:val="0025396E"/>
    <w:rsid w:val="00263273"/>
    <w:rsid w:val="00271191"/>
    <w:rsid w:val="002733F0"/>
    <w:rsid w:val="00274A47"/>
    <w:rsid w:val="00277EC4"/>
    <w:rsid w:val="00286864"/>
    <w:rsid w:val="00293246"/>
    <w:rsid w:val="002A0DEE"/>
    <w:rsid w:val="002A290F"/>
    <w:rsid w:val="002A33FC"/>
    <w:rsid w:val="002B0240"/>
    <w:rsid w:val="002B1DE4"/>
    <w:rsid w:val="002D68A3"/>
    <w:rsid w:val="002F3716"/>
    <w:rsid w:val="002F6BB3"/>
    <w:rsid w:val="002F7F44"/>
    <w:rsid w:val="003063EF"/>
    <w:rsid w:val="00312C08"/>
    <w:rsid w:val="00313E28"/>
    <w:rsid w:val="0031596C"/>
    <w:rsid w:val="00321FBF"/>
    <w:rsid w:val="0033342D"/>
    <w:rsid w:val="00337DF4"/>
    <w:rsid w:val="00357C86"/>
    <w:rsid w:val="003646EA"/>
    <w:rsid w:val="00364817"/>
    <w:rsid w:val="003709FA"/>
    <w:rsid w:val="0038540F"/>
    <w:rsid w:val="00385B73"/>
    <w:rsid w:val="003A3722"/>
    <w:rsid w:val="003A4BC9"/>
    <w:rsid w:val="003B0B56"/>
    <w:rsid w:val="003B1BC7"/>
    <w:rsid w:val="003B40F5"/>
    <w:rsid w:val="003C62B6"/>
    <w:rsid w:val="003D4A3B"/>
    <w:rsid w:val="00400A3D"/>
    <w:rsid w:val="00413B26"/>
    <w:rsid w:val="004246F7"/>
    <w:rsid w:val="00425E29"/>
    <w:rsid w:val="00433502"/>
    <w:rsid w:val="00442856"/>
    <w:rsid w:val="004451EC"/>
    <w:rsid w:val="00454A67"/>
    <w:rsid w:val="00461798"/>
    <w:rsid w:val="00464719"/>
    <w:rsid w:val="00472677"/>
    <w:rsid w:val="004768D7"/>
    <w:rsid w:val="00483C2E"/>
    <w:rsid w:val="00484B77"/>
    <w:rsid w:val="00490972"/>
    <w:rsid w:val="00490BEF"/>
    <w:rsid w:val="004A06C6"/>
    <w:rsid w:val="004A2E1A"/>
    <w:rsid w:val="004A398D"/>
    <w:rsid w:val="004A4CBE"/>
    <w:rsid w:val="004B2FFB"/>
    <w:rsid w:val="004B7274"/>
    <w:rsid w:val="004D5F76"/>
    <w:rsid w:val="00526554"/>
    <w:rsid w:val="00526A59"/>
    <w:rsid w:val="00527540"/>
    <w:rsid w:val="00551A87"/>
    <w:rsid w:val="005527DD"/>
    <w:rsid w:val="00552987"/>
    <w:rsid w:val="00566669"/>
    <w:rsid w:val="00566E09"/>
    <w:rsid w:val="0057764B"/>
    <w:rsid w:val="00577B91"/>
    <w:rsid w:val="00590243"/>
    <w:rsid w:val="00591DC4"/>
    <w:rsid w:val="0059565C"/>
    <w:rsid w:val="005B28DE"/>
    <w:rsid w:val="005B4F66"/>
    <w:rsid w:val="005B6056"/>
    <w:rsid w:val="005C102F"/>
    <w:rsid w:val="005D1079"/>
    <w:rsid w:val="005D2276"/>
    <w:rsid w:val="005F3DE1"/>
    <w:rsid w:val="005F7B78"/>
    <w:rsid w:val="00615FBD"/>
    <w:rsid w:val="0061666A"/>
    <w:rsid w:val="00621509"/>
    <w:rsid w:val="00621985"/>
    <w:rsid w:val="00627170"/>
    <w:rsid w:val="00644F89"/>
    <w:rsid w:val="00645DF8"/>
    <w:rsid w:val="00650C16"/>
    <w:rsid w:val="00652E7F"/>
    <w:rsid w:val="006537ED"/>
    <w:rsid w:val="00657508"/>
    <w:rsid w:val="00657B7E"/>
    <w:rsid w:val="00675911"/>
    <w:rsid w:val="00675ED7"/>
    <w:rsid w:val="00681C32"/>
    <w:rsid w:val="006826AA"/>
    <w:rsid w:val="00684434"/>
    <w:rsid w:val="006871BD"/>
    <w:rsid w:val="00690B50"/>
    <w:rsid w:val="006A5512"/>
    <w:rsid w:val="006A7F65"/>
    <w:rsid w:val="006B6FC4"/>
    <w:rsid w:val="006C18B2"/>
    <w:rsid w:val="006C4B6E"/>
    <w:rsid w:val="006D01C3"/>
    <w:rsid w:val="006D17AA"/>
    <w:rsid w:val="006D4A90"/>
    <w:rsid w:val="006D55BB"/>
    <w:rsid w:val="006D727F"/>
    <w:rsid w:val="006E4233"/>
    <w:rsid w:val="006E596F"/>
    <w:rsid w:val="007032A3"/>
    <w:rsid w:val="00712FFF"/>
    <w:rsid w:val="00715F14"/>
    <w:rsid w:val="0072211E"/>
    <w:rsid w:val="00722E13"/>
    <w:rsid w:val="00724791"/>
    <w:rsid w:val="007322A3"/>
    <w:rsid w:val="0073710F"/>
    <w:rsid w:val="007403A7"/>
    <w:rsid w:val="00780E11"/>
    <w:rsid w:val="007943FB"/>
    <w:rsid w:val="007A44B4"/>
    <w:rsid w:val="007A69C5"/>
    <w:rsid w:val="007A6E42"/>
    <w:rsid w:val="007B1116"/>
    <w:rsid w:val="007B4400"/>
    <w:rsid w:val="007C1CDC"/>
    <w:rsid w:val="007C4B72"/>
    <w:rsid w:val="00802D0B"/>
    <w:rsid w:val="008078AC"/>
    <w:rsid w:val="0081064C"/>
    <w:rsid w:val="008136D4"/>
    <w:rsid w:val="008272D5"/>
    <w:rsid w:val="00837C53"/>
    <w:rsid w:val="00851489"/>
    <w:rsid w:val="00856366"/>
    <w:rsid w:val="00866B37"/>
    <w:rsid w:val="00867430"/>
    <w:rsid w:val="00880A73"/>
    <w:rsid w:val="00882358"/>
    <w:rsid w:val="00886E7D"/>
    <w:rsid w:val="00890FC8"/>
    <w:rsid w:val="008A2161"/>
    <w:rsid w:val="008B00E1"/>
    <w:rsid w:val="008C035F"/>
    <w:rsid w:val="008D1447"/>
    <w:rsid w:val="008E533A"/>
    <w:rsid w:val="008F282B"/>
    <w:rsid w:val="008F3EC4"/>
    <w:rsid w:val="00903AF7"/>
    <w:rsid w:val="00907411"/>
    <w:rsid w:val="00907AD8"/>
    <w:rsid w:val="00910F22"/>
    <w:rsid w:val="00913761"/>
    <w:rsid w:val="0093398A"/>
    <w:rsid w:val="009345D1"/>
    <w:rsid w:val="00946DD5"/>
    <w:rsid w:val="009476AB"/>
    <w:rsid w:val="00953A15"/>
    <w:rsid w:val="00966398"/>
    <w:rsid w:val="0097212F"/>
    <w:rsid w:val="00974F92"/>
    <w:rsid w:val="00980724"/>
    <w:rsid w:val="00983FAE"/>
    <w:rsid w:val="009B64AC"/>
    <w:rsid w:val="009C1ED2"/>
    <w:rsid w:val="009D15C1"/>
    <w:rsid w:val="009F73C7"/>
    <w:rsid w:val="00A068B3"/>
    <w:rsid w:val="00A12F55"/>
    <w:rsid w:val="00A150A4"/>
    <w:rsid w:val="00A3411E"/>
    <w:rsid w:val="00A34403"/>
    <w:rsid w:val="00A40D6A"/>
    <w:rsid w:val="00A40E05"/>
    <w:rsid w:val="00A52070"/>
    <w:rsid w:val="00A61934"/>
    <w:rsid w:val="00A74AA8"/>
    <w:rsid w:val="00A8739B"/>
    <w:rsid w:val="00A9506D"/>
    <w:rsid w:val="00A972D6"/>
    <w:rsid w:val="00AA78B8"/>
    <w:rsid w:val="00AB1840"/>
    <w:rsid w:val="00AC0D8C"/>
    <w:rsid w:val="00AD3199"/>
    <w:rsid w:val="00AD4CD9"/>
    <w:rsid w:val="00AE2E3D"/>
    <w:rsid w:val="00AF6572"/>
    <w:rsid w:val="00B028C0"/>
    <w:rsid w:val="00B164D2"/>
    <w:rsid w:val="00B44D41"/>
    <w:rsid w:val="00B52AE5"/>
    <w:rsid w:val="00B608BE"/>
    <w:rsid w:val="00B615DC"/>
    <w:rsid w:val="00B74492"/>
    <w:rsid w:val="00B8083C"/>
    <w:rsid w:val="00B81399"/>
    <w:rsid w:val="00B8342A"/>
    <w:rsid w:val="00B93296"/>
    <w:rsid w:val="00BC2CE4"/>
    <w:rsid w:val="00BD04EF"/>
    <w:rsid w:val="00BE0707"/>
    <w:rsid w:val="00BE1064"/>
    <w:rsid w:val="00BF1E33"/>
    <w:rsid w:val="00C1224A"/>
    <w:rsid w:val="00C22286"/>
    <w:rsid w:val="00C35042"/>
    <w:rsid w:val="00C36C73"/>
    <w:rsid w:val="00C4073F"/>
    <w:rsid w:val="00C5166E"/>
    <w:rsid w:val="00C53AD9"/>
    <w:rsid w:val="00C53B77"/>
    <w:rsid w:val="00C54C94"/>
    <w:rsid w:val="00C616CC"/>
    <w:rsid w:val="00C72707"/>
    <w:rsid w:val="00C753FB"/>
    <w:rsid w:val="00C821B1"/>
    <w:rsid w:val="00CA06C1"/>
    <w:rsid w:val="00CB09C8"/>
    <w:rsid w:val="00CB742D"/>
    <w:rsid w:val="00CC263D"/>
    <w:rsid w:val="00CD3EC1"/>
    <w:rsid w:val="00CE4CF2"/>
    <w:rsid w:val="00D055DA"/>
    <w:rsid w:val="00D0690F"/>
    <w:rsid w:val="00D072EE"/>
    <w:rsid w:val="00D10C5A"/>
    <w:rsid w:val="00D10ECA"/>
    <w:rsid w:val="00D13353"/>
    <w:rsid w:val="00D1438C"/>
    <w:rsid w:val="00D16C7F"/>
    <w:rsid w:val="00D243A7"/>
    <w:rsid w:val="00D3078B"/>
    <w:rsid w:val="00D30DC3"/>
    <w:rsid w:val="00D317B4"/>
    <w:rsid w:val="00D324C7"/>
    <w:rsid w:val="00D35F73"/>
    <w:rsid w:val="00D36B1F"/>
    <w:rsid w:val="00D37073"/>
    <w:rsid w:val="00D446AA"/>
    <w:rsid w:val="00D44768"/>
    <w:rsid w:val="00D543A6"/>
    <w:rsid w:val="00D54D64"/>
    <w:rsid w:val="00D62A45"/>
    <w:rsid w:val="00D65870"/>
    <w:rsid w:val="00D7047A"/>
    <w:rsid w:val="00D75874"/>
    <w:rsid w:val="00D82266"/>
    <w:rsid w:val="00D83CA9"/>
    <w:rsid w:val="00D85181"/>
    <w:rsid w:val="00D9768D"/>
    <w:rsid w:val="00DA4E78"/>
    <w:rsid w:val="00DA72D9"/>
    <w:rsid w:val="00DC01C2"/>
    <w:rsid w:val="00DC07B5"/>
    <w:rsid w:val="00DC1EBB"/>
    <w:rsid w:val="00DC624E"/>
    <w:rsid w:val="00DC7387"/>
    <w:rsid w:val="00DC7DE3"/>
    <w:rsid w:val="00DD0B5A"/>
    <w:rsid w:val="00DD1F7B"/>
    <w:rsid w:val="00DE78A2"/>
    <w:rsid w:val="00DF7B73"/>
    <w:rsid w:val="00DF7DC3"/>
    <w:rsid w:val="00E00DC9"/>
    <w:rsid w:val="00E01158"/>
    <w:rsid w:val="00E05B0D"/>
    <w:rsid w:val="00E06110"/>
    <w:rsid w:val="00E06E56"/>
    <w:rsid w:val="00E127F8"/>
    <w:rsid w:val="00E13F35"/>
    <w:rsid w:val="00E17BAA"/>
    <w:rsid w:val="00E24DCB"/>
    <w:rsid w:val="00E33742"/>
    <w:rsid w:val="00E42FE9"/>
    <w:rsid w:val="00E47DD2"/>
    <w:rsid w:val="00E67C12"/>
    <w:rsid w:val="00E74AB6"/>
    <w:rsid w:val="00E921B8"/>
    <w:rsid w:val="00EA1800"/>
    <w:rsid w:val="00EA6A39"/>
    <w:rsid w:val="00EA77A9"/>
    <w:rsid w:val="00EB0538"/>
    <w:rsid w:val="00EB5847"/>
    <w:rsid w:val="00EC26EA"/>
    <w:rsid w:val="00EC654D"/>
    <w:rsid w:val="00ED09E6"/>
    <w:rsid w:val="00ED293A"/>
    <w:rsid w:val="00EE3B2B"/>
    <w:rsid w:val="00EF0168"/>
    <w:rsid w:val="00EF1525"/>
    <w:rsid w:val="00EF4F0A"/>
    <w:rsid w:val="00EF5FA8"/>
    <w:rsid w:val="00EF60B5"/>
    <w:rsid w:val="00F005A3"/>
    <w:rsid w:val="00F023D6"/>
    <w:rsid w:val="00F0724F"/>
    <w:rsid w:val="00F07D00"/>
    <w:rsid w:val="00F142E6"/>
    <w:rsid w:val="00F268AC"/>
    <w:rsid w:val="00F33929"/>
    <w:rsid w:val="00F35780"/>
    <w:rsid w:val="00F36E4E"/>
    <w:rsid w:val="00F425A6"/>
    <w:rsid w:val="00F4683D"/>
    <w:rsid w:val="00F51C9D"/>
    <w:rsid w:val="00F53659"/>
    <w:rsid w:val="00F741B8"/>
    <w:rsid w:val="00F8728B"/>
    <w:rsid w:val="00F966DE"/>
    <w:rsid w:val="00FA4D55"/>
    <w:rsid w:val="00FC11F4"/>
    <w:rsid w:val="00FC1D88"/>
    <w:rsid w:val="00FC645E"/>
    <w:rsid w:val="00FD4D9D"/>
    <w:rsid w:val="00FD7642"/>
    <w:rsid w:val="00FE433D"/>
    <w:rsid w:val="00FE4637"/>
    <w:rsid w:val="00FE5E0C"/>
    <w:rsid w:val="00FE67D3"/>
    <w:rsid w:val="00FF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5B3E"/>
  <w15:chartTrackingRefBased/>
  <w15:docId w15:val="{F121DFD5-1CF2-45DF-923C-E2C7449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7D00"/>
    <w:pPr>
      <w:spacing w:after="0" w:line="240" w:lineRule="auto"/>
    </w:pPr>
    <w:rPr>
      <w:sz w:val="20"/>
      <w:szCs w:val="20"/>
    </w:rPr>
  </w:style>
  <w:style w:type="character" w:customStyle="1" w:styleId="FootnoteTextChar">
    <w:name w:val="Footnote Text Char"/>
    <w:basedOn w:val="DefaultParagraphFont"/>
    <w:link w:val="FootnoteText"/>
    <w:uiPriority w:val="99"/>
    <w:rsid w:val="00F07D00"/>
    <w:rPr>
      <w:sz w:val="20"/>
      <w:szCs w:val="20"/>
    </w:rPr>
  </w:style>
  <w:style w:type="character" w:styleId="FootnoteReference">
    <w:name w:val="footnote reference"/>
    <w:basedOn w:val="DefaultParagraphFont"/>
    <w:uiPriority w:val="99"/>
    <w:unhideWhenUsed/>
    <w:rsid w:val="00F07D00"/>
    <w:rPr>
      <w:vertAlign w:val="superscript"/>
    </w:rPr>
  </w:style>
  <w:style w:type="paragraph" w:styleId="Header">
    <w:name w:val="header"/>
    <w:basedOn w:val="Normal"/>
    <w:link w:val="HeaderChar"/>
    <w:uiPriority w:val="99"/>
    <w:unhideWhenUsed/>
    <w:rsid w:val="00ED0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9E6"/>
  </w:style>
  <w:style w:type="paragraph" w:styleId="Footer">
    <w:name w:val="footer"/>
    <w:basedOn w:val="Normal"/>
    <w:link w:val="FooterChar"/>
    <w:uiPriority w:val="99"/>
    <w:unhideWhenUsed/>
    <w:rsid w:val="00ED0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9E6"/>
  </w:style>
  <w:style w:type="paragraph" w:styleId="BalloonText">
    <w:name w:val="Balloon Text"/>
    <w:basedOn w:val="Normal"/>
    <w:link w:val="BalloonTextChar"/>
    <w:uiPriority w:val="99"/>
    <w:semiHidden/>
    <w:unhideWhenUsed/>
    <w:rsid w:val="0017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C5C"/>
    <w:rPr>
      <w:rFonts w:ascii="Segoe UI" w:hAnsi="Segoe UI" w:cs="Segoe UI"/>
      <w:sz w:val="18"/>
      <w:szCs w:val="18"/>
    </w:rPr>
  </w:style>
  <w:style w:type="table" w:styleId="TableGrid">
    <w:name w:val="Table Grid"/>
    <w:basedOn w:val="TableNormal"/>
    <w:uiPriority w:val="39"/>
    <w:rsid w:val="0047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A3B"/>
    <w:rPr>
      <w:color w:val="0563C1" w:themeColor="hyperlink"/>
      <w:u w:val="single"/>
    </w:rPr>
  </w:style>
  <w:style w:type="paragraph" w:styleId="ListParagraph">
    <w:name w:val="List Paragraph"/>
    <w:basedOn w:val="Normal"/>
    <w:uiPriority w:val="34"/>
    <w:qFormat/>
    <w:rsid w:val="005C1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009">
      <w:bodyDiv w:val="1"/>
      <w:marLeft w:val="0"/>
      <w:marRight w:val="0"/>
      <w:marTop w:val="0"/>
      <w:marBottom w:val="0"/>
      <w:divBdr>
        <w:top w:val="none" w:sz="0" w:space="0" w:color="auto"/>
        <w:left w:val="none" w:sz="0" w:space="0" w:color="auto"/>
        <w:bottom w:val="none" w:sz="0" w:space="0" w:color="auto"/>
        <w:right w:val="none" w:sz="0" w:space="0" w:color="auto"/>
      </w:divBdr>
    </w:div>
    <w:div w:id="95709598">
      <w:bodyDiv w:val="1"/>
      <w:marLeft w:val="0"/>
      <w:marRight w:val="0"/>
      <w:marTop w:val="0"/>
      <w:marBottom w:val="0"/>
      <w:divBdr>
        <w:top w:val="none" w:sz="0" w:space="0" w:color="auto"/>
        <w:left w:val="none" w:sz="0" w:space="0" w:color="auto"/>
        <w:bottom w:val="none" w:sz="0" w:space="0" w:color="auto"/>
        <w:right w:val="none" w:sz="0" w:space="0" w:color="auto"/>
      </w:divBdr>
    </w:div>
    <w:div w:id="107706814">
      <w:bodyDiv w:val="1"/>
      <w:marLeft w:val="0"/>
      <w:marRight w:val="0"/>
      <w:marTop w:val="0"/>
      <w:marBottom w:val="0"/>
      <w:divBdr>
        <w:top w:val="none" w:sz="0" w:space="0" w:color="auto"/>
        <w:left w:val="none" w:sz="0" w:space="0" w:color="auto"/>
        <w:bottom w:val="none" w:sz="0" w:space="0" w:color="auto"/>
        <w:right w:val="none" w:sz="0" w:space="0" w:color="auto"/>
      </w:divBdr>
    </w:div>
    <w:div w:id="302195634">
      <w:bodyDiv w:val="1"/>
      <w:marLeft w:val="0"/>
      <w:marRight w:val="0"/>
      <w:marTop w:val="0"/>
      <w:marBottom w:val="0"/>
      <w:divBdr>
        <w:top w:val="none" w:sz="0" w:space="0" w:color="auto"/>
        <w:left w:val="none" w:sz="0" w:space="0" w:color="auto"/>
        <w:bottom w:val="none" w:sz="0" w:space="0" w:color="auto"/>
        <w:right w:val="none" w:sz="0" w:space="0" w:color="auto"/>
      </w:divBdr>
    </w:div>
    <w:div w:id="313029012">
      <w:bodyDiv w:val="1"/>
      <w:marLeft w:val="0"/>
      <w:marRight w:val="0"/>
      <w:marTop w:val="0"/>
      <w:marBottom w:val="0"/>
      <w:divBdr>
        <w:top w:val="none" w:sz="0" w:space="0" w:color="auto"/>
        <w:left w:val="none" w:sz="0" w:space="0" w:color="auto"/>
        <w:bottom w:val="none" w:sz="0" w:space="0" w:color="auto"/>
        <w:right w:val="none" w:sz="0" w:space="0" w:color="auto"/>
      </w:divBdr>
    </w:div>
    <w:div w:id="318651212">
      <w:bodyDiv w:val="1"/>
      <w:marLeft w:val="0"/>
      <w:marRight w:val="0"/>
      <w:marTop w:val="0"/>
      <w:marBottom w:val="0"/>
      <w:divBdr>
        <w:top w:val="none" w:sz="0" w:space="0" w:color="auto"/>
        <w:left w:val="none" w:sz="0" w:space="0" w:color="auto"/>
        <w:bottom w:val="none" w:sz="0" w:space="0" w:color="auto"/>
        <w:right w:val="none" w:sz="0" w:space="0" w:color="auto"/>
      </w:divBdr>
    </w:div>
    <w:div w:id="336540421">
      <w:bodyDiv w:val="1"/>
      <w:marLeft w:val="0"/>
      <w:marRight w:val="0"/>
      <w:marTop w:val="0"/>
      <w:marBottom w:val="0"/>
      <w:divBdr>
        <w:top w:val="none" w:sz="0" w:space="0" w:color="auto"/>
        <w:left w:val="none" w:sz="0" w:space="0" w:color="auto"/>
        <w:bottom w:val="none" w:sz="0" w:space="0" w:color="auto"/>
        <w:right w:val="none" w:sz="0" w:space="0" w:color="auto"/>
      </w:divBdr>
    </w:div>
    <w:div w:id="347877443">
      <w:bodyDiv w:val="1"/>
      <w:marLeft w:val="0"/>
      <w:marRight w:val="0"/>
      <w:marTop w:val="0"/>
      <w:marBottom w:val="0"/>
      <w:divBdr>
        <w:top w:val="none" w:sz="0" w:space="0" w:color="auto"/>
        <w:left w:val="none" w:sz="0" w:space="0" w:color="auto"/>
        <w:bottom w:val="none" w:sz="0" w:space="0" w:color="auto"/>
        <w:right w:val="none" w:sz="0" w:space="0" w:color="auto"/>
      </w:divBdr>
    </w:div>
    <w:div w:id="398938170">
      <w:bodyDiv w:val="1"/>
      <w:marLeft w:val="0"/>
      <w:marRight w:val="0"/>
      <w:marTop w:val="0"/>
      <w:marBottom w:val="0"/>
      <w:divBdr>
        <w:top w:val="none" w:sz="0" w:space="0" w:color="auto"/>
        <w:left w:val="none" w:sz="0" w:space="0" w:color="auto"/>
        <w:bottom w:val="none" w:sz="0" w:space="0" w:color="auto"/>
        <w:right w:val="none" w:sz="0" w:space="0" w:color="auto"/>
      </w:divBdr>
    </w:div>
    <w:div w:id="762258990">
      <w:bodyDiv w:val="1"/>
      <w:marLeft w:val="0"/>
      <w:marRight w:val="0"/>
      <w:marTop w:val="0"/>
      <w:marBottom w:val="0"/>
      <w:divBdr>
        <w:top w:val="none" w:sz="0" w:space="0" w:color="auto"/>
        <w:left w:val="none" w:sz="0" w:space="0" w:color="auto"/>
        <w:bottom w:val="none" w:sz="0" w:space="0" w:color="auto"/>
        <w:right w:val="none" w:sz="0" w:space="0" w:color="auto"/>
      </w:divBdr>
    </w:div>
    <w:div w:id="860514593">
      <w:bodyDiv w:val="1"/>
      <w:marLeft w:val="0"/>
      <w:marRight w:val="0"/>
      <w:marTop w:val="0"/>
      <w:marBottom w:val="0"/>
      <w:divBdr>
        <w:top w:val="none" w:sz="0" w:space="0" w:color="auto"/>
        <w:left w:val="none" w:sz="0" w:space="0" w:color="auto"/>
        <w:bottom w:val="none" w:sz="0" w:space="0" w:color="auto"/>
        <w:right w:val="none" w:sz="0" w:space="0" w:color="auto"/>
      </w:divBdr>
    </w:div>
    <w:div w:id="875774893">
      <w:bodyDiv w:val="1"/>
      <w:marLeft w:val="0"/>
      <w:marRight w:val="0"/>
      <w:marTop w:val="0"/>
      <w:marBottom w:val="0"/>
      <w:divBdr>
        <w:top w:val="none" w:sz="0" w:space="0" w:color="auto"/>
        <w:left w:val="none" w:sz="0" w:space="0" w:color="auto"/>
        <w:bottom w:val="none" w:sz="0" w:space="0" w:color="auto"/>
        <w:right w:val="none" w:sz="0" w:space="0" w:color="auto"/>
      </w:divBdr>
    </w:div>
    <w:div w:id="1082262784">
      <w:bodyDiv w:val="1"/>
      <w:marLeft w:val="0"/>
      <w:marRight w:val="0"/>
      <w:marTop w:val="0"/>
      <w:marBottom w:val="0"/>
      <w:divBdr>
        <w:top w:val="none" w:sz="0" w:space="0" w:color="auto"/>
        <w:left w:val="none" w:sz="0" w:space="0" w:color="auto"/>
        <w:bottom w:val="none" w:sz="0" w:space="0" w:color="auto"/>
        <w:right w:val="none" w:sz="0" w:space="0" w:color="auto"/>
      </w:divBdr>
    </w:div>
    <w:div w:id="1294754025">
      <w:bodyDiv w:val="1"/>
      <w:marLeft w:val="0"/>
      <w:marRight w:val="0"/>
      <w:marTop w:val="0"/>
      <w:marBottom w:val="0"/>
      <w:divBdr>
        <w:top w:val="none" w:sz="0" w:space="0" w:color="auto"/>
        <w:left w:val="none" w:sz="0" w:space="0" w:color="auto"/>
        <w:bottom w:val="none" w:sz="0" w:space="0" w:color="auto"/>
        <w:right w:val="none" w:sz="0" w:space="0" w:color="auto"/>
      </w:divBdr>
    </w:div>
    <w:div w:id="1374692228">
      <w:bodyDiv w:val="1"/>
      <w:marLeft w:val="0"/>
      <w:marRight w:val="0"/>
      <w:marTop w:val="0"/>
      <w:marBottom w:val="0"/>
      <w:divBdr>
        <w:top w:val="none" w:sz="0" w:space="0" w:color="auto"/>
        <w:left w:val="none" w:sz="0" w:space="0" w:color="auto"/>
        <w:bottom w:val="none" w:sz="0" w:space="0" w:color="auto"/>
        <w:right w:val="none" w:sz="0" w:space="0" w:color="auto"/>
      </w:divBdr>
    </w:div>
    <w:div w:id="1569615158">
      <w:bodyDiv w:val="1"/>
      <w:marLeft w:val="0"/>
      <w:marRight w:val="0"/>
      <w:marTop w:val="0"/>
      <w:marBottom w:val="0"/>
      <w:divBdr>
        <w:top w:val="none" w:sz="0" w:space="0" w:color="auto"/>
        <w:left w:val="none" w:sz="0" w:space="0" w:color="auto"/>
        <w:bottom w:val="none" w:sz="0" w:space="0" w:color="auto"/>
        <w:right w:val="none" w:sz="0" w:space="0" w:color="auto"/>
      </w:divBdr>
    </w:div>
    <w:div w:id="1688869189">
      <w:bodyDiv w:val="1"/>
      <w:marLeft w:val="0"/>
      <w:marRight w:val="0"/>
      <w:marTop w:val="0"/>
      <w:marBottom w:val="0"/>
      <w:divBdr>
        <w:top w:val="none" w:sz="0" w:space="0" w:color="auto"/>
        <w:left w:val="none" w:sz="0" w:space="0" w:color="auto"/>
        <w:bottom w:val="none" w:sz="0" w:space="0" w:color="auto"/>
        <w:right w:val="none" w:sz="0" w:space="0" w:color="auto"/>
      </w:divBdr>
    </w:div>
    <w:div w:id="19074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ectator.co.uk/2014/11/if-y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victorianweb.org/history/education/trehub/4.html"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omens.cusu.cam.ac.uk/campaigns/mindthegapreport201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Volumes\Passport\Research\Ahlburg\Excel\Oxford\Oxford_73_7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Passport\Research\Ahlburg\Excel\Oxford\Oxford_73_7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Passport\Research\Ahlburg\Excel\Oxford\Oxford_73_7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olumes\Passport\Research\Ahlburg\Excel\Oxford\Oxford_73_7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3</a:t>
            </a:r>
          </a:p>
          <a:p>
            <a:pPr>
              <a:defRPr/>
            </a:pPr>
            <a:r>
              <a:rPr lang="en-US"/>
              <a:t>Estimated Effect of Coresidence</a:t>
            </a:r>
            <a:r>
              <a:rPr lang="en-US" baseline="0"/>
              <a:t> on the Proportion of Female Faculty</a:t>
            </a:r>
          </a:p>
          <a:p>
            <a:pPr>
              <a:defRPr/>
            </a:pPr>
            <a:r>
              <a:rPr lang="en-US" sz="1400" b="0" i="0" u="none" strike="noStrike" baseline="0">
                <a:effectLst/>
              </a:rPr>
              <a:t>Formerly Women’s Colleges </a:t>
            </a:r>
            <a:endParaRPr lang="en-US"/>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Estimate</c:v>
          </c:tx>
          <c:spPr>
            <a:ln w="28575" cap="rnd">
              <a:solidFill>
                <a:schemeClr val="tx1"/>
              </a:solidFill>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Sheet2!$H$3:$H$14</c:f>
              <c:numCache>
                <c:formatCode>General</c:formatCode>
                <c:ptCount val="12"/>
                <c:pt idx="0">
                  <c:v>-3.4056299999999998E-2</c:v>
                </c:pt>
                <c:pt idx="1">
                  <c:v>-6.4267599999999994E-2</c:v>
                </c:pt>
                <c:pt idx="2">
                  <c:v>-0.17844119999999999</c:v>
                </c:pt>
                <c:pt idx="3">
                  <c:v>-0.22248960000000001</c:v>
                </c:pt>
                <c:pt idx="4">
                  <c:v>-0.2330942</c:v>
                </c:pt>
                <c:pt idx="5">
                  <c:v>-0.25742880000000001</c:v>
                </c:pt>
                <c:pt idx="6">
                  <c:v>-0.29820020000000003</c:v>
                </c:pt>
                <c:pt idx="7">
                  <c:v>-0.2710806</c:v>
                </c:pt>
                <c:pt idx="8">
                  <c:v>-0.2982052</c:v>
                </c:pt>
                <c:pt idx="9">
                  <c:v>-0.3186582</c:v>
                </c:pt>
                <c:pt idx="10">
                  <c:v>-0.34903400000000001</c:v>
                </c:pt>
                <c:pt idx="11">
                  <c:v>-0.3944647</c:v>
                </c:pt>
              </c:numCache>
            </c:numRef>
          </c:val>
          <c:smooth val="0"/>
        </c:ser>
        <c:ser>
          <c:idx val="1"/>
          <c:order val="1"/>
          <c:tx>
            <c:v>95% LCL</c:v>
          </c:tx>
          <c:spPr>
            <a:ln w="28575" cap="rnd">
              <a:solidFill>
                <a:schemeClr val="accent3"/>
              </a:solidFill>
              <a:prstDash val="dash"/>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Sheet2!$I$3:$I$14</c:f>
              <c:numCache>
                <c:formatCode>General</c:formatCode>
                <c:ptCount val="12"/>
                <c:pt idx="0">
                  <c:v>-0.12002640000000001</c:v>
                </c:pt>
                <c:pt idx="1">
                  <c:v>-0.12530910000000001</c:v>
                </c:pt>
                <c:pt idx="2">
                  <c:v>-0.23738409999999999</c:v>
                </c:pt>
                <c:pt idx="3">
                  <c:v>-0.27018520000000001</c:v>
                </c:pt>
                <c:pt idx="4">
                  <c:v>-0.27787329999999999</c:v>
                </c:pt>
                <c:pt idx="5">
                  <c:v>-0.3090562</c:v>
                </c:pt>
                <c:pt idx="6">
                  <c:v>-0.37470940000000003</c:v>
                </c:pt>
                <c:pt idx="7">
                  <c:v>-0.3353121</c:v>
                </c:pt>
                <c:pt idx="8">
                  <c:v>-0.37051709999999999</c:v>
                </c:pt>
                <c:pt idx="9">
                  <c:v>-0.39572780000000002</c:v>
                </c:pt>
                <c:pt idx="10">
                  <c:v>-0.43694630000000001</c:v>
                </c:pt>
                <c:pt idx="11">
                  <c:v>-0.47926239999999998</c:v>
                </c:pt>
              </c:numCache>
            </c:numRef>
          </c:val>
          <c:smooth val="0"/>
        </c:ser>
        <c:ser>
          <c:idx val="2"/>
          <c:order val="2"/>
          <c:tx>
            <c:v>95% UCL</c:v>
          </c:tx>
          <c:spPr>
            <a:ln w="28575" cap="rnd">
              <a:solidFill>
                <a:schemeClr val="accent3"/>
              </a:solidFill>
              <a:prstDash val="dashDot"/>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Sheet2!$J$3:$J$14</c:f>
              <c:numCache>
                <c:formatCode>General</c:formatCode>
                <c:ptCount val="12"/>
                <c:pt idx="0">
                  <c:v>5.19137E-2</c:v>
                </c:pt>
                <c:pt idx="1">
                  <c:v>-3.2260000000000001E-3</c:v>
                </c:pt>
                <c:pt idx="2">
                  <c:v>-0.1194983</c:v>
                </c:pt>
                <c:pt idx="3">
                  <c:v>-0.17479410000000001</c:v>
                </c:pt>
                <c:pt idx="4">
                  <c:v>-0.18831519999999999</c:v>
                </c:pt>
                <c:pt idx="5">
                  <c:v>-0.2058014</c:v>
                </c:pt>
                <c:pt idx="6">
                  <c:v>-0.221691</c:v>
                </c:pt>
                <c:pt idx="7">
                  <c:v>-0.20684910000000001</c:v>
                </c:pt>
                <c:pt idx="8">
                  <c:v>-0.22589329999999999</c:v>
                </c:pt>
                <c:pt idx="9">
                  <c:v>-0.24158850000000001</c:v>
                </c:pt>
                <c:pt idx="10">
                  <c:v>-0.26112170000000001</c:v>
                </c:pt>
                <c:pt idx="11">
                  <c:v>-0.30966700000000003</c:v>
                </c:pt>
              </c:numCache>
            </c:numRef>
          </c:val>
          <c:smooth val="0"/>
        </c:ser>
        <c:dLbls>
          <c:showLegendKey val="0"/>
          <c:showVal val="0"/>
          <c:showCatName val="0"/>
          <c:showSerName val="0"/>
          <c:showPercent val="0"/>
          <c:showBubbleSize val="0"/>
        </c:dLbls>
        <c:smooth val="0"/>
        <c:axId val="225757888"/>
        <c:axId val="225758448"/>
      </c:lineChart>
      <c:catAx>
        <c:axId val="2257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since Coresidence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758448"/>
        <c:crossesAt val="-0.6"/>
        <c:auto val="1"/>
        <c:lblAlgn val="ctr"/>
        <c:lblOffset val="100"/>
        <c:noMultiLvlLbl val="0"/>
      </c:catAx>
      <c:valAx>
        <c:axId val="22575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757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4</a:t>
            </a:r>
            <a:endParaRPr lang="en-US" baseline="0"/>
          </a:p>
          <a:p>
            <a:pPr>
              <a:defRPr/>
            </a:pPr>
            <a:r>
              <a:rPr lang="en-US"/>
              <a:t>Estimated Effect of Coresidence</a:t>
            </a:r>
            <a:r>
              <a:rPr lang="en-US" baseline="0"/>
              <a:t> on the Proportion of Female Faculty</a:t>
            </a:r>
          </a:p>
          <a:p>
            <a:pPr>
              <a:defRPr/>
            </a:pPr>
            <a:r>
              <a:rPr lang="en-US" sz="1400" b="0" i="0" u="none" strike="noStrike" baseline="0">
                <a:effectLst/>
              </a:rPr>
              <a:t>Formerly Men’s Colleges </a:t>
            </a:r>
            <a:endParaRPr lang="en-US"/>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Estimate</c:v>
          </c:tx>
          <c:spPr>
            <a:ln w="28575" cap="rnd">
              <a:solidFill>
                <a:schemeClr val="tx1"/>
              </a:solidFill>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Sheet2!$C$3:$C$14</c:f>
              <c:numCache>
                <c:formatCode>General</c:formatCode>
                <c:ptCount val="12"/>
                <c:pt idx="0">
                  <c:v>1.30825E-2</c:v>
                </c:pt>
                <c:pt idx="1">
                  <c:v>2.3652800000000002E-2</c:v>
                </c:pt>
                <c:pt idx="2">
                  <c:v>2.80106E-2</c:v>
                </c:pt>
                <c:pt idx="3">
                  <c:v>2.53934E-2</c:v>
                </c:pt>
                <c:pt idx="4">
                  <c:v>2.4225500000000001E-2</c:v>
                </c:pt>
                <c:pt idx="5">
                  <c:v>3.0861E-2</c:v>
                </c:pt>
                <c:pt idx="6">
                  <c:v>4.9344800000000001E-2</c:v>
                </c:pt>
                <c:pt idx="7">
                  <c:v>6.9086999999999996E-2</c:v>
                </c:pt>
                <c:pt idx="8">
                  <c:v>8.5539799999999999E-2</c:v>
                </c:pt>
                <c:pt idx="9">
                  <c:v>8.7848599999999999E-2</c:v>
                </c:pt>
                <c:pt idx="10">
                  <c:v>7.1238700000000002E-2</c:v>
                </c:pt>
                <c:pt idx="11">
                  <c:v>7.3303999999999994E-2</c:v>
                </c:pt>
              </c:numCache>
            </c:numRef>
          </c:val>
          <c:smooth val="0"/>
        </c:ser>
        <c:ser>
          <c:idx val="1"/>
          <c:order val="1"/>
          <c:tx>
            <c:v>95% LCL</c:v>
          </c:tx>
          <c:spPr>
            <a:ln w="28575" cap="rnd">
              <a:solidFill>
                <a:schemeClr val="accent3"/>
              </a:solidFill>
              <a:prstDash val="dash"/>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Sheet2!$D$3:$D$14</c:f>
              <c:numCache>
                <c:formatCode>General</c:formatCode>
                <c:ptCount val="12"/>
                <c:pt idx="0">
                  <c:v>-8.8372999999999993E-3</c:v>
                </c:pt>
                <c:pt idx="1">
                  <c:v>2.8968000000000002E-3</c:v>
                </c:pt>
                <c:pt idx="2">
                  <c:v>6.2068000000000002E-3</c:v>
                </c:pt>
                <c:pt idx="3">
                  <c:v>7.8370000000000002E-4</c:v>
                </c:pt>
                <c:pt idx="4">
                  <c:v>-4.2678000000000004E-3</c:v>
                </c:pt>
                <c:pt idx="5">
                  <c:v>-1.0621000000000001E-3</c:v>
                </c:pt>
                <c:pt idx="6">
                  <c:v>1.5412E-2</c:v>
                </c:pt>
                <c:pt idx="7">
                  <c:v>3.20053E-2</c:v>
                </c:pt>
                <c:pt idx="8">
                  <c:v>4.7829700000000003E-2</c:v>
                </c:pt>
                <c:pt idx="9">
                  <c:v>4.9853599999999998E-2</c:v>
                </c:pt>
                <c:pt idx="10">
                  <c:v>3.2029099999999998E-2</c:v>
                </c:pt>
                <c:pt idx="11">
                  <c:v>3.26247E-2</c:v>
                </c:pt>
              </c:numCache>
            </c:numRef>
          </c:val>
          <c:smooth val="0"/>
        </c:ser>
        <c:ser>
          <c:idx val="2"/>
          <c:order val="2"/>
          <c:tx>
            <c:v>95% UCL</c:v>
          </c:tx>
          <c:spPr>
            <a:ln w="28575" cap="rnd">
              <a:solidFill>
                <a:schemeClr val="accent3"/>
              </a:solidFill>
              <a:prstDash val="dashDot"/>
              <a:round/>
            </a:ln>
            <a:effectLst/>
          </c:spPr>
          <c:marker>
            <c:symbol val="none"/>
          </c:marker>
          <c:cat>
            <c:strRef>
              <c:f>Sheet2!$B$3:$B$15</c:f>
              <c:strCache>
                <c:ptCount val="13"/>
                <c:pt idx="0">
                  <c:v>-2</c:v>
                </c:pt>
                <c:pt idx="1">
                  <c:v>-1</c:v>
                </c:pt>
                <c:pt idx="2">
                  <c:v>0</c:v>
                </c:pt>
                <c:pt idx="3">
                  <c:v>1</c:v>
                </c:pt>
                <c:pt idx="4">
                  <c:v>2</c:v>
                </c:pt>
                <c:pt idx="5">
                  <c:v>3</c:v>
                </c:pt>
                <c:pt idx="6">
                  <c:v>4</c:v>
                </c:pt>
                <c:pt idx="7">
                  <c:v>5</c:v>
                </c:pt>
                <c:pt idx="8">
                  <c:v>6</c:v>
                </c:pt>
                <c:pt idx="9">
                  <c:v>7</c:v>
                </c:pt>
                <c:pt idx="10">
                  <c:v>8</c:v>
                </c:pt>
                <c:pt idx="11">
                  <c:v>9</c:v>
                </c:pt>
                <c:pt idx="12">
                  <c:v> </c:v>
                </c:pt>
              </c:strCache>
            </c:strRef>
          </c:cat>
          <c:val>
            <c:numRef>
              <c:f>Sheet2!$E$3:$E$14</c:f>
              <c:numCache>
                <c:formatCode>General</c:formatCode>
                <c:ptCount val="12"/>
                <c:pt idx="0">
                  <c:v>3.50023E-2</c:v>
                </c:pt>
                <c:pt idx="1">
                  <c:v>4.4408900000000001E-2</c:v>
                </c:pt>
                <c:pt idx="2">
                  <c:v>4.9814499999999998E-2</c:v>
                </c:pt>
                <c:pt idx="3">
                  <c:v>5.0003100000000002E-2</c:v>
                </c:pt>
                <c:pt idx="4">
                  <c:v>5.2718899999999999E-2</c:v>
                </c:pt>
                <c:pt idx="5">
                  <c:v>6.2784000000000006E-2</c:v>
                </c:pt>
                <c:pt idx="6">
                  <c:v>8.3277699999999996E-2</c:v>
                </c:pt>
                <c:pt idx="7">
                  <c:v>0.1061687</c:v>
                </c:pt>
                <c:pt idx="8">
                  <c:v>0.12325</c:v>
                </c:pt>
                <c:pt idx="9">
                  <c:v>0.1258437</c:v>
                </c:pt>
                <c:pt idx="10">
                  <c:v>0.1104482</c:v>
                </c:pt>
                <c:pt idx="11">
                  <c:v>0.1139834</c:v>
                </c:pt>
              </c:numCache>
            </c:numRef>
          </c:val>
          <c:smooth val="0"/>
        </c:ser>
        <c:dLbls>
          <c:showLegendKey val="0"/>
          <c:showVal val="0"/>
          <c:showCatName val="0"/>
          <c:showSerName val="0"/>
          <c:showPercent val="0"/>
          <c:showBubbleSize val="0"/>
        </c:dLbls>
        <c:smooth val="0"/>
        <c:axId val="229396144"/>
        <c:axId val="229396704"/>
      </c:lineChart>
      <c:catAx>
        <c:axId val="22939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since Coresidence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96704"/>
        <c:crosses val="autoZero"/>
        <c:auto val="1"/>
        <c:lblAlgn val="ctr"/>
        <c:lblOffset val="100"/>
        <c:noMultiLvlLbl val="0"/>
      </c:catAx>
      <c:valAx>
        <c:axId val="22939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96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5</a:t>
            </a:r>
          </a:p>
          <a:p>
            <a:pPr>
              <a:defRPr/>
            </a:pPr>
            <a:r>
              <a:rPr lang="en-US"/>
              <a:t>Estimated Effect of Coresidence</a:t>
            </a:r>
            <a:r>
              <a:rPr lang="en-US" baseline="0"/>
              <a:t> on the Norrington Ranking</a:t>
            </a:r>
          </a:p>
          <a:p>
            <a:pPr>
              <a:defRPr/>
            </a:pPr>
            <a:r>
              <a:rPr lang="en-US" sz="1400" b="0" i="0" u="none" strike="noStrike" baseline="0">
                <a:effectLst/>
              </a:rPr>
              <a:t>Formerly Women’s Colleges </a:t>
            </a:r>
            <a:endParaRPr lang="en-US"/>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095451695587196E-2"/>
          <c:y val="0.170355411954766"/>
          <c:w val="0.76952691364399095"/>
          <c:h val="0.75653263455153696"/>
        </c:manualLayout>
      </c:layout>
      <c:lineChart>
        <c:grouping val="standard"/>
        <c:varyColors val="0"/>
        <c:ser>
          <c:idx val="0"/>
          <c:order val="0"/>
          <c:tx>
            <c:v>Estimate</c:v>
          </c:tx>
          <c:spPr>
            <a:ln w="28575" cap="rnd">
              <a:solidFill>
                <a:schemeClr val="tx1"/>
              </a:solidFill>
              <a:round/>
            </a:ln>
            <a:effectLst/>
          </c:spPr>
          <c:marker>
            <c:symbol val="none"/>
          </c:marker>
          <c:cat>
            <c:numRef>
              <c:f>Sheet2!$B$19:$B$30</c:f>
              <c:numCache>
                <c:formatCode>General</c:formatCode>
                <c:ptCount val="12"/>
                <c:pt idx="0">
                  <c:v>-2</c:v>
                </c:pt>
                <c:pt idx="1">
                  <c:v>-1</c:v>
                </c:pt>
                <c:pt idx="2">
                  <c:v>0</c:v>
                </c:pt>
                <c:pt idx="3">
                  <c:v>1</c:v>
                </c:pt>
                <c:pt idx="4">
                  <c:v>2</c:v>
                </c:pt>
                <c:pt idx="5">
                  <c:v>3</c:v>
                </c:pt>
                <c:pt idx="6">
                  <c:v>4</c:v>
                </c:pt>
                <c:pt idx="7">
                  <c:v>5</c:v>
                </c:pt>
                <c:pt idx="8">
                  <c:v>6</c:v>
                </c:pt>
                <c:pt idx="9">
                  <c:v>7</c:v>
                </c:pt>
                <c:pt idx="10">
                  <c:v>8</c:v>
                </c:pt>
                <c:pt idx="11">
                  <c:v>9</c:v>
                </c:pt>
              </c:numCache>
            </c:numRef>
          </c:cat>
          <c:val>
            <c:numRef>
              <c:f>Sheet2!$G$19:$G$30</c:f>
              <c:numCache>
                <c:formatCode>General</c:formatCode>
                <c:ptCount val="12"/>
                <c:pt idx="0">
                  <c:v>2.491441</c:v>
                </c:pt>
                <c:pt idx="1">
                  <c:v>-0.42241299999999998</c:v>
                </c:pt>
                <c:pt idx="2">
                  <c:v>-0.56339980000000001</c:v>
                </c:pt>
                <c:pt idx="3">
                  <c:v>-3.0220150000000001</c:v>
                </c:pt>
                <c:pt idx="4">
                  <c:v>0.7856107</c:v>
                </c:pt>
                <c:pt idx="5">
                  <c:v>-0.63743609999999995</c:v>
                </c:pt>
                <c:pt idx="6">
                  <c:v>-1.874951</c:v>
                </c:pt>
                <c:pt idx="7">
                  <c:v>-1.6133690000000001</c:v>
                </c:pt>
                <c:pt idx="8">
                  <c:v>-1.3319350000000001</c:v>
                </c:pt>
                <c:pt idx="9">
                  <c:v>-2.1599400000000002</c:v>
                </c:pt>
                <c:pt idx="10">
                  <c:v>3.8882940000000001</c:v>
                </c:pt>
                <c:pt idx="11">
                  <c:v>-7.4045639999999997</c:v>
                </c:pt>
              </c:numCache>
            </c:numRef>
          </c:val>
          <c:smooth val="0"/>
        </c:ser>
        <c:ser>
          <c:idx val="1"/>
          <c:order val="1"/>
          <c:tx>
            <c:v>LCL</c:v>
          </c:tx>
          <c:spPr>
            <a:ln w="28575" cap="rnd">
              <a:solidFill>
                <a:schemeClr val="accent3"/>
              </a:solidFill>
              <a:prstDash val="dash"/>
              <a:round/>
            </a:ln>
            <a:effectLst/>
          </c:spPr>
          <c:marker>
            <c:symbol val="none"/>
          </c:marker>
          <c:val>
            <c:numRef>
              <c:f>Sheet2!$H$19:$H$30</c:f>
              <c:numCache>
                <c:formatCode>General</c:formatCode>
                <c:ptCount val="12"/>
                <c:pt idx="0">
                  <c:v>-0.70661229999999997</c:v>
                </c:pt>
                <c:pt idx="1">
                  <c:v>-4.6405909999999997</c:v>
                </c:pt>
                <c:pt idx="2">
                  <c:v>-4.8106849999999994</c:v>
                </c:pt>
                <c:pt idx="3">
                  <c:v>-7.1651669999999994</c:v>
                </c:pt>
                <c:pt idx="4">
                  <c:v>-6.3619119999999993</c:v>
                </c:pt>
                <c:pt idx="5">
                  <c:v>-6.9460009999999999</c:v>
                </c:pt>
                <c:pt idx="6">
                  <c:v>-6.9653400000000003</c:v>
                </c:pt>
                <c:pt idx="7">
                  <c:v>-9.4549099999999999</c:v>
                </c:pt>
                <c:pt idx="8">
                  <c:v>-9.2490689999999987</c:v>
                </c:pt>
                <c:pt idx="9">
                  <c:v>-5.7283609999999996</c:v>
                </c:pt>
                <c:pt idx="10">
                  <c:v>0.39868389999999998</c:v>
                </c:pt>
                <c:pt idx="11">
                  <c:v>-11.52435</c:v>
                </c:pt>
              </c:numCache>
            </c:numRef>
          </c:val>
          <c:smooth val="0"/>
        </c:ser>
        <c:ser>
          <c:idx val="2"/>
          <c:order val="2"/>
          <c:tx>
            <c:v>UCL</c:v>
          </c:tx>
          <c:spPr>
            <a:ln w="28575" cap="rnd">
              <a:solidFill>
                <a:schemeClr val="accent3"/>
              </a:solidFill>
              <a:prstDash val="dashDot"/>
              <a:round/>
            </a:ln>
            <a:effectLst/>
          </c:spPr>
          <c:marker>
            <c:symbol val="none"/>
          </c:marker>
          <c:val>
            <c:numRef>
              <c:f>Sheet2!$I$19:$I$30</c:f>
              <c:numCache>
                <c:formatCode>General</c:formatCode>
                <c:ptCount val="12"/>
                <c:pt idx="0">
                  <c:v>5.689495</c:v>
                </c:pt>
                <c:pt idx="1">
                  <c:v>3.7957649999999998</c:v>
                </c:pt>
                <c:pt idx="2">
                  <c:v>3.6838860000000002</c:v>
                </c:pt>
                <c:pt idx="3">
                  <c:v>1.1211370000000001</c:v>
                </c:pt>
                <c:pt idx="4">
                  <c:v>7.9331329999999998</c:v>
                </c:pt>
                <c:pt idx="5">
                  <c:v>5.6711280000000004</c:v>
                </c:pt>
                <c:pt idx="6">
                  <c:v>3.2154379999999998</c:v>
                </c:pt>
                <c:pt idx="7">
                  <c:v>6.228173</c:v>
                </c:pt>
                <c:pt idx="8">
                  <c:v>6.5851980000000001</c:v>
                </c:pt>
                <c:pt idx="9">
                  <c:v>1.4084810000000001</c:v>
                </c:pt>
                <c:pt idx="10">
                  <c:v>7.3779049999999993</c:v>
                </c:pt>
                <c:pt idx="11">
                  <c:v>-3.2847759999999999</c:v>
                </c:pt>
              </c:numCache>
            </c:numRef>
          </c:val>
          <c:smooth val="0"/>
        </c:ser>
        <c:dLbls>
          <c:showLegendKey val="0"/>
          <c:showVal val="0"/>
          <c:showCatName val="0"/>
          <c:showSerName val="0"/>
          <c:showPercent val="0"/>
          <c:showBubbleSize val="0"/>
        </c:dLbls>
        <c:smooth val="0"/>
        <c:axId val="227429008"/>
        <c:axId val="227429568"/>
      </c:lineChart>
      <c:catAx>
        <c:axId val="227429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since Coresidence</a:t>
                </a:r>
                <a:endParaRPr lang="en-US"/>
              </a:p>
            </c:rich>
          </c:tx>
          <c:layout>
            <c:manualLayout>
              <c:xMode val="edge"/>
              <c:yMode val="edge"/>
              <c:x val="0.402882913201424"/>
              <c:y val="0.959198224212279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429568"/>
        <c:crossesAt val="-15"/>
        <c:auto val="1"/>
        <c:lblAlgn val="ctr"/>
        <c:lblOffset val="100"/>
        <c:noMultiLvlLbl val="0"/>
      </c:catAx>
      <c:valAx>
        <c:axId val="227429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429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6</a:t>
            </a:r>
          </a:p>
          <a:p>
            <a:pPr>
              <a:defRPr/>
            </a:pPr>
            <a:r>
              <a:rPr lang="en-US"/>
              <a:t>Estimated Effect of Coresidence</a:t>
            </a:r>
            <a:r>
              <a:rPr lang="en-US" baseline="0"/>
              <a:t> on the Norrington Ranking</a:t>
            </a:r>
          </a:p>
          <a:p>
            <a:pPr>
              <a:defRPr/>
            </a:pPr>
            <a:r>
              <a:rPr lang="en-US" sz="1400" b="0" i="0" u="none" strike="noStrike" baseline="0">
                <a:effectLst/>
              </a:rPr>
              <a:t>Formerly Men’s Colleges </a:t>
            </a:r>
            <a:endParaRPr lang="en-US"/>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095451695587196E-2"/>
          <c:y val="0.170355411954766"/>
          <c:w val="0.76952691364399095"/>
          <c:h val="0.75653263455153696"/>
        </c:manualLayout>
      </c:layout>
      <c:lineChart>
        <c:grouping val="standard"/>
        <c:varyColors val="0"/>
        <c:ser>
          <c:idx val="0"/>
          <c:order val="0"/>
          <c:tx>
            <c:v>Estimate</c:v>
          </c:tx>
          <c:spPr>
            <a:ln w="28575" cap="rnd">
              <a:solidFill>
                <a:schemeClr val="tx1"/>
              </a:solidFill>
              <a:round/>
            </a:ln>
            <a:effectLst/>
          </c:spPr>
          <c:marker>
            <c:symbol val="none"/>
          </c:marker>
          <c:cat>
            <c:numRef>
              <c:f>Sheet2!$B$19:$B$30</c:f>
              <c:numCache>
                <c:formatCode>General</c:formatCode>
                <c:ptCount val="12"/>
                <c:pt idx="0">
                  <c:v>-2</c:v>
                </c:pt>
                <c:pt idx="1">
                  <c:v>-1</c:v>
                </c:pt>
                <c:pt idx="2">
                  <c:v>0</c:v>
                </c:pt>
                <c:pt idx="3">
                  <c:v>1</c:v>
                </c:pt>
                <c:pt idx="4">
                  <c:v>2</c:v>
                </c:pt>
                <c:pt idx="5">
                  <c:v>3</c:v>
                </c:pt>
                <c:pt idx="6">
                  <c:v>4</c:v>
                </c:pt>
                <c:pt idx="7">
                  <c:v>5</c:v>
                </c:pt>
                <c:pt idx="8">
                  <c:v>6</c:v>
                </c:pt>
                <c:pt idx="9">
                  <c:v>7</c:v>
                </c:pt>
                <c:pt idx="10">
                  <c:v>8</c:v>
                </c:pt>
                <c:pt idx="11">
                  <c:v>9</c:v>
                </c:pt>
              </c:numCache>
            </c:numRef>
          </c:cat>
          <c:val>
            <c:numRef>
              <c:f>Sheet2!$C$19:$C$30</c:f>
              <c:numCache>
                <c:formatCode>General</c:formatCode>
                <c:ptCount val="12"/>
                <c:pt idx="0">
                  <c:v>2.2695699999999999</c:v>
                </c:pt>
                <c:pt idx="1">
                  <c:v>4.1898350000000004</c:v>
                </c:pt>
                <c:pt idx="2">
                  <c:v>6.9360340000000003</c:v>
                </c:pt>
                <c:pt idx="3">
                  <c:v>0.43250420000000001</c:v>
                </c:pt>
                <c:pt idx="4">
                  <c:v>3.389351</c:v>
                </c:pt>
                <c:pt idx="5">
                  <c:v>2.7055250000000002</c:v>
                </c:pt>
                <c:pt idx="6">
                  <c:v>2.169613</c:v>
                </c:pt>
                <c:pt idx="7">
                  <c:v>6.9955000000000003E-2</c:v>
                </c:pt>
                <c:pt idx="8">
                  <c:v>-1.1998089999999999</c:v>
                </c:pt>
                <c:pt idx="9">
                  <c:v>-0.92124360000000005</c:v>
                </c:pt>
                <c:pt idx="10">
                  <c:v>-6.4879480000000003</c:v>
                </c:pt>
                <c:pt idx="11">
                  <c:v>-4.0991999999999997</c:v>
                </c:pt>
              </c:numCache>
            </c:numRef>
          </c:val>
          <c:smooth val="0"/>
        </c:ser>
        <c:ser>
          <c:idx val="1"/>
          <c:order val="1"/>
          <c:tx>
            <c:v>LCL</c:v>
          </c:tx>
          <c:spPr>
            <a:ln w="28575" cap="rnd">
              <a:solidFill>
                <a:schemeClr val="accent3"/>
              </a:solidFill>
              <a:prstDash val="dash"/>
              <a:round/>
            </a:ln>
            <a:effectLst/>
          </c:spPr>
          <c:marker>
            <c:symbol val="none"/>
          </c:marker>
          <c:val>
            <c:numRef>
              <c:f>Sheet2!$D$19:$D$30</c:f>
              <c:numCache>
                <c:formatCode>General</c:formatCode>
                <c:ptCount val="12"/>
                <c:pt idx="0">
                  <c:v>-5.5996990000000002</c:v>
                </c:pt>
                <c:pt idx="1">
                  <c:v>-4.3514650000000001</c:v>
                </c:pt>
                <c:pt idx="2">
                  <c:v>-1.3359620000000001</c:v>
                </c:pt>
                <c:pt idx="3">
                  <c:v>-7.8685839999999976</c:v>
                </c:pt>
                <c:pt idx="4">
                  <c:v>-5.4252390000000004</c:v>
                </c:pt>
                <c:pt idx="5">
                  <c:v>-6.5011760000000001</c:v>
                </c:pt>
                <c:pt idx="6">
                  <c:v>-6.2284999999999986</c:v>
                </c:pt>
                <c:pt idx="7">
                  <c:v>-7.9149459999999996</c:v>
                </c:pt>
                <c:pt idx="8">
                  <c:v>-9.5008079999999993</c:v>
                </c:pt>
                <c:pt idx="9">
                  <c:v>-9.3482099999999981</c:v>
                </c:pt>
                <c:pt idx="10">
                  <c:v>-15.815</c:v>
                </c:pt>
                <c:pt idx="11">
                  <c:v>-14.08517</c:v>
                </c:pt>
              </c:numCache>
            </c:numRef>
          </c:val>
          <c:smooth val="0"/>
        </c:ser>
        <c:ser>
          <c:idx val="2"/>
          <c:order val="2"/>
          <c:tx>
            <c:v>UCL</c:v>
          </c:tx>
          <c:spPr>
            <a:ln w="28575" cap="rnd">
              <a:solidFill>
                <a:schemeClr val="accent3"/>
              </a:solidFill>
              <a:prstDash val="dashDot"/>
              <a:round/>
            </a:ln>
            <a:effectLst/>
          </c:spPr>
          <c:marker>
            <c:symbol val="none"/>
          </c:marker>
          <c:val>
            <c:numRef>
              <c:f>Sheet2!$E$19:$E$30</c:f>
              <c:numCache>
                <c:formatCode>General</c:formatCode>
                <c:ptCount val="12"/>
                <c:pt idx="0">
                  <c:v>10.13884</c:v>
                </c:pt>
                <c:pt idx="1">
                  <c:v>12.73114</c:v>
                </c:pt>
                <c:pt idx="2">
                  <c:v>15.208030000000001</c:v>
                </c:pt>
                <c:pt idx="3">
                  <c:v>8.7335919999999998</c:v>
                </c:pt>
                <c:pt idx="4">
                  <c:v>12.203939999999999</c:v>
                </c:pt>
                <c:pt idx="5">
                  <c:v>11.912229999999999</c:v>
                </c:pt>
                <c:pt idx="6">
                  <c:v>10.567729999999999</c:v>
                </c:pt>
                <c:pt idx="7">
                  <c:v>8.0548559999999991</c:v>
                </c:pt>
                <c:pt idx="8">
                  <c:v>7.1011899999999999</c:v>
                </c:pt>
                <c:pt idx="9">
                  <c:v>7.5057229999999997</c:v>
                </c:pt>
                <c:pt idx="10">
                  <c:v>2.8391079999999991</c:v>
                </c:pt>
                <c:pt idx="11">
                  <c:v>5.8867700000000003</c:v>
                </c:pt>
              </c:numCache>
            </c:numRef>
          </c:val>
          <c:smooth val="0"/>
        </c:ser>
        <c:dLbls>
          <c:showLegendKey val="0"/>
          <c:showVal val="0"/>
          <c:showCatName val="0"/>
          <c:showSerName val="0"/>
          <c:showPercent val="0"/>
          <c:showBubbleSize val="0"/>
        </c:dLbls>
        <c:smooth val="0"/>
        <c:axId val="229494448"/>
        <c:axId val="229495008"/>
      </c:lineChart>
      <c:catAx>
        <c:axId val="22949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since Coresidence</a:t>
                </a:r>
                <a:endParaRPr lang="en-US"/>
              </a:p>
            </c:rich>
          </c:tx>
          <c:layout>
            <c:manualLayout>
              <c:xMode val="edge"/>
              <c:yMode val="edge"/>
              <c:x val="0.402882913201424"/>
              <c:y val="0.959198224212279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495008"/>
        <c:crossesAt val="-20"/>
        <c:auto val="1"/>
        <c:lblAlgn val="ctr"/>
        <c:lblOffset val="100"/>
        <c:noMultiLvlLbl val="0"/>
      </c:catAx>
      <c:valAx>
        <c:axId val="229495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494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1393-353C-4CEC-837F-51A8665C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9613</Words>
  <Characters>54798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Trinity University</Company>
  <LinksUpToDate>false</LinksUpToDate>
  <CharactersWithSpaces>64283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Ahlburg, Dennis</dc:creator>
  <cp:keywords/>
  <dc:description/>
  <cp:lastModifiedBy>Ahlburg, Dennis</cp:lastModifiedBy>
  <cp:revision>3</cp:revision>
  <cp:lastPrinted>2017-08-24T15:15:00Z</cp:lastPrinted>
  <dcterms:created xsi:type="dcterms:W3CDTF">2017-08-31T18:41:00Z</dcterms:created>
  <dcterms:modified xsi:type="dcterms:W3CDTF">2017-08-31T18:41:00Z</dcterms:modified>
</cp:coreProperties>
</file>